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B" w:rsidRDefault="00102448" w:rsidP="00102448">
      <w:pPr>
        <w:pStyle w:val="NoSpacing"/>
        <w:rPr>
          <w:rFonts w:ascii="Times New Roman" w:hAnsi="Times New Roman" w:cs="Times New Roman"/>
          <w:b/>
          <w:lang w:val="ro-RO"/>
        </w:rPr>
      </w:pPr>
      <w:r w:rsidRPr="00102448">
        <w:rPr>
          <w:rFonts w:ascii="Times New Roman" w:hAnsi="Times New Roman" w:cs="Times New Roman"/>
          <w:b/>
          <w:lang w:val="ro-RO"/>
        </w:rPr>
        <w:t xml:space="preserve">                      </w:t>
      </w:r>
    </w:p>
    <w:p w:rsidR="00102448" w:rsidRPr="00102448" w:rsidRDefault="00102448" w:rsidP="00102448">
      <w:pPr>
        <w:pStyle w:val="NoSpacing"/>
        <w:rPr>
          <w:rFonts w:ascii="Times New Roman" w:hAnsi="Times New Roman" w:cs="Times New Roman"/>
          <w:b/>
          <w:lang w:val="ro-RO"/>
        </w:rPr>
      </w:pPr>
      <w:r w:rsidRPr="00102448">
        <w:rPr>
          <w:rFonts w:ascii="Times New Roman" w:hAnsi="Times New Roman" w:cs="Times New Roman"/>
          <w:b/>
          <w:lang w:val="ro-RO"/>
        </w:rPr>
        <w:t xml:space="preserve">                           </w:t>
      </w:r>
    </w:p>
    <w:p w:rsidR="00703FA8" w:rsidRDefault="00703FA8" w:rsidP="00BB6BBF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bookmarkStart w:id="0" w:name="_GoBack"/>
      <w:bookmarkEnd w:id="0"/>
    </w:p>
    <w:p w:rsidR="00703FA8" w:rsidRDefault="00703FA8" w:rsidP="00BB6BBF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</w:p>
    <w:p w:rsidR="00703FA8" w:rsidRPr="00B55B5C" w:rsidRDefault="00703FA8" w:rsidP="00BB6BBF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1656"/>
        <w:gridCol w:w="8379"/>
      </w:tblGrid>
      <w:tr w:rsidR="00703FA8" w:rsidRPr="00E155E3" w:rsidTr="00DB1F7A">
        <w:tc>
          <w:tcPr>
            <w:tcW w:w="1656" w:type="dxa"/>
            <w:shd w:val="clear" w:color="auto" w:fill="auto"/>
          </w:tcPr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02448">
              <w:rPr>
                <w:rFonts w:ascii="Times New Roman" w:hAnsi="Times New Roman" w:cs="Times New Roman"/>
                <w:b/>
                <w:lang w:val="fr-FR"/>
              </w:rPr>
              <w:t xml:space="preserve">   </w:t>
            </w:r>
            <w:r w:rsidRPr="00102448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CDCD8EC" wp14:editId="5F7A956C">
                  <wp:extent cx="633600" cy="877292"/>
                  <wp:effectExtent l="0" t="0" r="0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53" cy="878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9" w:type="dxa"/>
            <w:shd w:val="clear" w:color="auto" w:fill="auto"/>
          </w:tcPr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  <w:lang w:val="pt-BR"/>
              </w:rPr>
            </w:pPr>
            <w:r w:rsidRPr="00102448">
              <w:rPr>
                <w:rFonts w:ascii="Times New Roman" w:hAnsi="Times New Roman" w:cs="Times New Roman"/>
                <w:b/>
                <w:lang w:val="pt-BR"/>
              </w:rPr>
              <w:t>MINISTERUL SĂNĂTĂŢII</w:t>
            </w:r>
          </w:p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  <w:lang w:val="pt-BR"/>
              </w:rPr>
            </w:pPr>
            <w:r w:rsidRPr="00102448">
              <w:rPr>
                <w:rFonts w:ascii="Times New Roman" w:hAnsi="Times New Roman" w:cs="Times New Roman"/>
                <w:b/>
                <w:lang w:val="pt-BR"/>
              </w:rPr>
              <w:t>DIRECŢIA DE SĂNĂTATE PUBLICĂ A JUDEŢULUI CLUJ</w:t>
            </w:r>
          </w:p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  <w:lang w:val="it-IT"/>
              </w:rPr>
            </w:pPr>
            <w:r w:rsidRPr="00102448">
              <w:rPr>
                <w:rFonts w:ascii="Times New Roman" w:hAnsi="Times New Roman" w:cs="Times New Roman"/>
                <w:b/>
                <w:lang w:val="pt-BR"/>
              </w:rPr>
              <w:t xml:space="preserve">Cluj-Napoca, 400158, Str. </w:t>
            </w:r>
            <w:r w:rsidRPr="00102448">
              <w:rPr>
                <w:rFonts w:ascii="Times New Roman" w:hAnsi="Times New Roman" w:cs="Times New Roman"/>
                <w:b/>
                <w:lang w:val="it-IT"/>
              </w:rPr>
              <w:t>Constanţa nr. 5, etaj I;</w:t>
            </w:r>
          </w:p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  <w:lang w:val="it-IT"/>
              </w:rPr>
            </w:pPr>
            <w:r w:rsidRPr="00102448">
              <w:rPr>
                <w:rFonts w:ascii="Times New Roman" w:hAnsi="Times New Roman" w:cs="Times New Roman"/>
                <w:b/>
                <w:lang w:val="it-IT"/>
              </w:rPr>
              <w:t>Telefon: 0040 - 264-433645; Fax: 0040 - 264-530388;</w:t>
            </w:r>
          </w:p>
          <w:p w:rsidR="00703FA8" w:rsidRPr="00102448" w:rsidRDefault="00703FA8" w:rsidP="00DB1F7A">
            <w:pPr>
              <w:pStyle w:val="NoSpacing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10244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Web : </w:t>
            </w:r>
            <w:r w:rsidRPr="00102448">
              <w:rPr>
                <w:rFonts w:ascii="Times New Roman" w:hAnsi="Times New Roman" w:cs="Times New Roman"/>
                <w:b/>
                <w:bCs/>
                <w:color w:val="0000FF"/>
                <w:lang w:val="pt-BR"/>
              </w:rPr>
              <w:t>www.dspcluj.ro</w:t>
            </w:r>
            <w:r w:rsidRPr="00102448">
              <w:rPr>
                <w:rFonts w:ascii="Times New Roman" w:hAnsi="Times New Roman" w:cs="Times New Roman"/>
                <w:b/>
                <w:bCs/>
                <w:lang w:val="pt-BR"/>
              </w:rPr>
              <w:t xml:space="preserve">; E-mail : </w:t>
            </w:r>
            <w:hyperlink r:id="rId7" w:history="1">
              <w:r w:rsidRPr="00102448">
                <w:rPr>
                  <w:rFonts w:ascii="Times New Roman" w:hAnsi="Times New Roman" w:cs="Times New Roman"/>
                  <w:b/>
                  <w:bCs/>
                  <w:color w:val="0000FF"/>
                  <w:u w:val="single"/>
                  <w:lang w:val="pt-BR"/>
                </w:rPr>
                <w:t>dspj.cluj@dspcluj.ro</w:t>
              </w:r>
            </w:hyperlink>
          </w:p>
        </w:tc>
      </w:tr>
    </w:tbl>
    <w:p w:rsidR="00703FA8" w:rsidRDefault="00703FA8" w:rsidP="00703FA8">
      <w:pPr>
        <w:rPr>
          <w:rFonts w:ascii="Times New Roman" w:hAnsi="Times New Roman" w:cs="Times New Roman"/>
          <w:lang w:val="pt-BR"/>
        </w:rPr>
      </w:pPr>
    </w:p>
    <w:p w:rsidR="00703FA8" w:rsidRDefault="00703FA8" w:rsidP="00703FA8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ro-RO"/>
        </w:rPr>
      </w:pPr>
    </w:p>
    <w:p w:rsidR="00086595" w:rsidRPr="00086595" w:rsidRDefault="00703FA8" w:rsidP="00086595">
      <w:pPr>
        <w:spacing w:after="0" w:line="360" w:lineRule="auto"/>
        <w:rPr>
          <w:rFonts w:ascii="Times New Roman" w:eastAsia="SimSun" w:hAnsi="Times New Roman" w:cs="Times New Roman"/>
          <w:lang w:val="ro-RO"/>
        </w:rPr>
      </w:pPr>
      <w:r w:rsidRPr="00086595">
        <w:rPr>
          <w:rFonts w:ascii="Times New Roman" w:eastAsia="SimSun" w:hAnsi="Times New Roman" w:cs="Times New Roman"/>
          <w:lang w:val="ro-RO"/>
        </w:rPr>
        <w:t>Către mass media locală,</w:t>
      </w:r>
    </w:p>
    <w:p w:rsidR="00752D6F" w:rsidRPr="00086595" w:rsidRDefault="00086595" w:rsidP="00086595">
      <w:pPr>
        <w:spacing w:after="0" w:line="360" w:lineRule="auto"/>
        <w:rPr>
          <w:rFonts w:ascii="Times New Roman" w:eastAsia="SimSun" w:hAnsi="Times New Roman" w:cs="Times New Roman"/>
          <w:lang w:val="ro-RO"/>
        </w:rPr>
      </w:pPr>
      <w:r w:rsidRPr="00086595">
        <w:rPr>
          <w:rFonts w:ascii="Times New Roman" w:eastAsia="SimSun" w:hAnsi="Times New Roman" w:cs="Times New Roman"/>
          <w:lang w:val="ro-RO"/>
        </w:rPr>
        <w:t>A</w:t>
      </w:r>
      <w:r w:rsidR="00703FA8" w:rsidRPr="00086595">
        <w:rPr>
          <w:rFonts w:ascii="Times New Roman" w:eastAsia="SimSun" w:hAnsi="Times New Roman" w:cs="Times New Roman"/>
          <w:lang w:val="ro-RO"/>
        </w:rPr>
        <w:t>lăturat vă trimitem un material referitor la</w:t>
      </w:r>
      <w:r w:rsidR="00703FA8" w:rsidRPr="00086595">
        <w:rPr>
          <w:rFonts w:ascii="Times New Roman" w:eastAsia="SimSun" w:hAnsi="Times New Roman" w:cs="Times New Roman"/>
          <w:lang w:val="ro-RO" w:eastAsia="zh-CN"/>
        </w:rPr>
        <w:t xml:space="preserve"> </w:t>
      </w:r>
      <w:r w:rsidR="00703FA8" w:rsidRPr="00086595">
        <w:rPr>
          <w:rFonts w:ascii="Times New Roman" w:eastAsia="SimSun" w:hAnsi="Times New Roman" w:cs="Times New Roman"/>
          <w:b/>
          <w:lang w:val="ro-RO" w:eastAsia="zh-CN"/>
        </w:rPr>
        <w:t>Ziua Mondială a Sănătăţii</w:t>
      </w:r>
      <w:r w:rsidR="00703FA8" w:rsidRPr="00086595">
        <w:rPr>
          <w:rFonts w:ascii="Times New Roman" w:eastAsia="SimSun" w:hAnsi="Times New Roman" w:cs="Times New Roman"/>
          <w:lang w:val="ro-RO"/>
        </w:rPr>
        <w:t>, pe care vă rugăm să-l publicaţi in ziarul Dumneavoastră sau să-l difuzaţi in emisiunile Dumneavoastră, având in vedere importanţa informării populatiei cu privire la aceasta temă.</w:t>
      </w:r>
    </w:p>
    <w:p w:rsidR="00752D6F" w:rsidRPr="00775A49" w:rsidRDefault="00752D6F" w:rsidP="009D6CC5">
      <w:pPr>
        <w:pStyle w:val="ListParagraph"/>
        <w:ind w:left="0" w:firstLine="708"/>
        <w:rPr>
          <w:rFonts w:eastAsia="SimSun"/>
          <w:sz w:val="22"/>
          <w:szCs w:val="22"/>
          <w:lang w:val="ro-RO"/>
        </w:rPr>
      </w:pPr>
    </w:p>
    <w:p w:rsidR="00752D6F" w:rsidRDefault="00752D6F" w:rsidP="00752D6F">
      <w:pPr>
        <w:pStyle w:val="ListParagraph"/>
        <w:ind w:left="0" w:firstLine="708"/>
        <w:jc w:val="both"/>
        <w:rPr>
          <w:rFonts w:eastAsia="SimSun"/>
          <w:lang w:val="ro-RO"/>
        </w:rPr>
      </w:pPr>
    </w:p>
    <w:p w:rsidR="00C90BE9" w:rsidRPr="00CD3FFF" w:rsidRDefault="00730856" w:rsidP="00602CA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D3FFF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Ziua Mondială a Sănătăţii</w:t>
      </w:r>
      <w:r w:rsidRPr="00CD3FFF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</w:t>
      </w:r>
      <w:r w:rsidR="00E2184C" w:rsidRPr="00CD3FFF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– 7 aprilie 2018 </w:t>
      </w:r>
      <w:r w:rsidRPr="00CD3FFF">
        <w:rPr>
          <w:rFonts w:ascii="Times New Roman" w:eastAsia="SimSun" w:hAnsi="Times New Roman" w:cs="Times New Roman"/>
          <w:sz w:val="24"/>
          <w:szCs w:val="24"/>
          <w:lang w:val="ro-RO"/>
        </w:rPr>
        <w:t>are tema acoperi</w:t>
      </w:r>
      <w:r w:rsidR="00E2184C" w:rsidRPr="00CD3FFF">
        <w:rPr>
          <w:rFonts w:ascii="Times New Roman" w:eastAsia="SimSun" w:hAnsi="Times New Roman" w:cs="Times New Roman"/>
          <w:sz w:val="24"/>
          <w:szCs w:val="24"/>
          <w:lang w:val="ro-RO"/>
        </w:rPr>
        <w:t>rea universala cu servicii de sănă</w:t>
      </w:r>
      <w:r w:rsidRPr="00CD3FFF">
        <w:rPr>
          <w:rFonts w:ascii="Times New Roman" w:eastAsia="SimSun" w:hAnsi="Times New Roman" w:cs="Times New Roman"/>
          <w:sz w:val="24"/>
          <w:szCs w:val="24"/>
          <w:lang w:val="ro-RO"/>
        </w:rPr>
        <w:t>tate</w:t>
      </w:r>
      <w:r w:rsidRPr="00CD3F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. </w:t>
      </w:r>
      <w:r w:rsidR="00A2722B" w:rsidRPr="00CD3FFF">
        <w:rPr>
          <w:rFonts w:ascii="Times New Roman" w:hAnsi="Times New Roman" w:cs="Times New Roman"/>
          <w:sz w:val="24"/>
          <w:szCs w:val="24"/>
          <w:lang w:val="ro-RO"/>
        </w:rPr>
        <w:t>Conform Organizaţiei Mondiale a Sănătăţ</w:t>
      </w:r>
      <w:r w:rsidRPr="00CD3FFF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A2722B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 definiţ</w:t>
      </w:r>
      <w:r w:rsidRPr="00CD3FFF">
        <w:rPr>
          <w:rFonts w:ascii="Times New Roman" w:hAnsi="Times New Roman" w:cs="Times New Roman"/>
          <w:sz w:val="24"/>
          <w:szCs w:val="24"/>
          <w:lang w:val="ro-RO"/>
        </w:rPr>
        <w:t>ia acoperirii universale cu servicii de sănătate este</w:t>
      </w:r>
      <w:r w:rsidR="00F2573E" w:rsidRPr="00CD3FF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C90BE9" w:rsidRPr="00CD3FF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“To</w:t>
      </w:r>
      <w:r w:rsidR="00C90BE9" w:rsidRPr="00CD3FFF">
        <w:rPr>
          <w:rFonts w:ascii="Times New Roman" w:eastAsia="Times New Roman" w:hAnsi="Times New Roman" w:cs="Times New Roman"/>
          <w:sz w:val="24"/>
          <w:szCs w:val="24"/>
          <w:lang w:val="ro-RO"/>
        </w:rPr>
        <w:t>ţ</w:t>
      </w:r>
      <w:r w:rsidR="00C90BE9" w:rsidRPr="00CD3FFF">
        <w:rPr>
          <w:rFonts w:ascii="Times New Roman" w:eastAsia="Times New Roman" w:hAnsi="Times New Roman" w:cs="Times New Roman"/>
          <w:sz w:val="24"/>
          <w:szCs w:val="24"/>
          <w:lang w:val="pt-BR"/>
        </w:rPr>
        <w:t>i oamenii şi comunităţile primesc servicii de sănătate de care au nevoie, fără a se confrunta cu dificultăţi financiare”.</w:t>
      </w:r>
    </w:p>
    <w:p w:rsidR="00A2722B" w:rsidRPr="00CD3FFF" w:rsidRDefault="00730856" w:rsidP="00602CA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15D8B" w:rsidRPr="00CD3FFF">
        <w:rPr>
          <w:rFonts w:ascii="Times New Roman" w:hAnsi="Times New Roman" w:cs="Times New Roman"/>
          <w:sz w:val="24"/>
          <w:szCs w:val="24"/>
          <w:lang w:val="ro-RO"/>
        </w:rPr>
        <w:t>Scopul acestei campanii este</w:t>
      </w:r>
      <w:r w:rsidR="00752D6F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6E2A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î</w:t>
      </w:r>
      <w:r w:rsidR="00915D8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mbunătăţirea stării de sănătate a populaţiei la nivel glo</w:t>
      </w:r>
      <w:r w:rsidR="00A2722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bal</w:t>
      </w:r>
      <w:r w:rsidR="009B6E2A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.</w:t>
      </w:r>
      <w:r w:rsidR="009B6E2A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90BE9" w:rsidRPr="00CD3FFF" w:rsidRDefault="00A2722B" w:rsidP="00602CAC">
      <w:pPr>
        <w:pStyle w:val="NoSpacing"/>
        <w:rPr>
          <w:rFonts w:ascii="Times New Roman" w:eastAsia="+mn-ea" w:hAnsi="Times New Roman" w:cs="Times New Roman"/>
          <w:sz w:val="24"/>
          <w:szCs w:val="24"/>
          <w:lang w:val="ro-RO"/>
        </w:rPr>
      </w:pP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6E2A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Obiectivul </w:t>
      </w:r>
      <w:r w:rsidR="009D6CC5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este ghidarea factorilor</w:t>
      </w:r>
      <w:r w:rsidR="00C90BE9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 de decizie şi altor</w:t>
      </w:r>
      <w:r w:rsidR="00554AB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 persoane interesate în asumarea responsabilităţii în vederea atingerii </w:t>
      </w:r>
      <w:r w:rsidR="009D6CC5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acoperirii u</w:t>
      </w:r>
      <w:r w:rsidR="00554AB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niversale </w:t>
      </w:r>
      <w:r w:rsidR="009D6CC5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cu s</w:t>
      </w:r>
      <w:r w:rsidR="00554AB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ervicii </w:t>
      </w:r>
      <w:r w:rsidR="009D6CC5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de s</w:t>
      </w:r>
      <w:r w:rsidR="00554ABB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ănătate</w:t>
      </w:r>
      <w:r w:rsidR="009B6E2A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>.</w:t>
      </w:r>
    </w:p>
    <w:p w:rsidR="00C90BE9" w:rsidRPr="00CD3FFF" w:rsidRDefault="009B6E2A" w:rsidP="00602CA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 </w:t>
      </w:r>
      <w:r w:rsidR="009D6CC5" w:rsidRPr="00CD3FFF">
        <w:rPr>
          <w:rFonts w:ascii="Times New Roman" w:eastAsia="+mn-ea" w:hAnsi="Times New Roman" w:cs="Times New Roman"/>
          <w:sz w:val="24"/>
          <w:szCs w:val="24"/>
          <w:lang w:val="ro-RO"/>
        </w:rPr>
        <w:t xml:space="preserve">Sloganul campaniei naţionale este: </w:t>
      </w:r>
      <w:r w:rsidR="00A2722B" w:rsidRPr="00CD3FFF">
        <w:rPr>
          <w:rFonts w:ascii="Times New Roman" w:hAnsi="Times New Roman" w:cs="Times New Roman"/>
          <w:b/>
          <w:sz w:val="24"/>
          <w:szCs w:val="24"/>
          <w:lang w:val="ro-RO"/>
        </w:rPr>
        <w:t>Sănă</w:t>
      </w:r>
      <w:r w:rsidR="000A4AD0" w:rsidRPr="00CD3FFF">
        <w:rPr>
          <w:rFonts w:ascii="Times New Roman" w:hAnsi="Times New Roman" w:cs="Times New Roman"/>
          <w:b/>
          <w:sz w:val="24"/>
          <w:szCs w:val="24"/>
          <w:lang w:val="ro-RO"/>
        </w:rPr>
        <w:t>tate pentru toti!</w:t>
      </w:r>
    </w:p>
    <w:p w:rsidR="00602CAC" w:rsidRDefault="00A933D5" w:rsidP="00602CA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6E2A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Conform datelor Organizației Mondiale a Sănătății, aproximativ jumătate din populația lumii nu are acces </w:t>
      </w:r>
      <w:r w:rsidR="00752D6F" w:rsidRPr="00CD3FFF">
        <w:rPr>
          <w:rFonts w:ascii="Times New Roman" w:hAnsi="Times New Roman" w:cs="Times New Roman"/>
          <w:sz w:val="24"/>
          <w:szCs w:val="24"/>
          <w:lang w:val="ro-RO"/>
        </w:rPr>
        <w:t>a servicii esențiale de sănătate</w:t>
      </w:r>
      <w:r w:rsidR="001C54DD" w:rsidRPr="00CD3F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52D6F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61BDE" w:rsidRPr="00CD3FFF">
        <w:rPr>
          <w:rFonts w:ascii="Times New Roman" w:hAnsi="Times New Roman" w:cs="Times New Roman"/>
          <w:sz w:val="24"/>
          <w:szCs w:val="24"/>
          <w:lang w:val="ro-RO"/>
        </w:rPr>
        <w:t>Accesul la servicii esențiale de sănătate de calitate și la protecție financiară în procesul de accesare a acestor servicii îmbunătățesc sănătatea populației, cresc speranța de viață, protejează țările de apariția unor epidemii, reduc sărăcia și riscul de foamete, creează locuri de muncă, susțin creșterea economică și egalitate</w:t>
      </w:r>
      <w:r w:rsidR="001C54DD" w:rsidRPr="00CD3FFF">
        <w:rPr>
          <w:rFonts w:ascii="Times New Roman" w:hAnsi="Times New Roman" w:cs="Times New Roman"/>
          <w:sz w:val="24"/>
          <w:szCs w:val="24"/>
          <w:lang w:val="ro-RO"/>
        </w:rPr>
        <w:t>a de gen</w:t>
      </w:r>
      <w:r w:rsidR="001E490D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. Progresul țărilor în atingerea </w:t>
      </w:r>
      <w:r w:rsidR="009D0122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accesului </w:t>
      </w:r>
      <w:r w:rsidR="001E490D" w:rsidRPr="00CD3FFF">
        <w:rPr>
          <w:rFonts w:ascii="Times New Roman" w:hAnsi="Times New Roman" w:cs="Times New Roman"/>
          <w:sz w:val="24"/>
          <w:szCs w:val="24"/>
          <w:lang w:val="ro-RO"/>
        </w:rPr>
        <w:t>este eval</w:t>
      </w:r>
      <w:r w:rsidR="00C313D8" w:rsidRPr="00CD3FFF">
        <w:rPr>
          <w:rFonts w:ascii="Times New Roman" w:hAnsi="Times New Roman" w:cs="Times New Roman"/>
          <w:sz w:val="24"/>
          <w:szCs w:val="24"/>
          <w:lang w:val="ro-RO"/>
        </w:rPr>
        <w:t>uat în raport cu două criterii:</w:t>
      </w:r>
      <w:r w:rsidR="001E490D" w:rsidRPr="00CD3FFF">
        <w:rPr>
          <w:rFonts w:ascii="Times New Roman" w:hAnsi="Times New Roman" w:cs="Times New Roman"/>
          <w:sz w:val="24"/>
          <w:szCs w:val="24"/>
          <w:lang w:val="ro-RO"/>
        </w:rPr>
        <w:t>1) indice</w:t>
      </w:r>
      <w:r w:rsidR="00C313D8" w:rsidRPr="00CD3FFF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1E490D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de acoperire a serviciilor de sănătate </w:t>
      </w:r>
      <w:r w:rsidR="00BE26CB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si </w:t>
      </w:r>
      <w:r w:rsidR="00C90BE9" w:rsidRPr="00CD3FFF">
        <w:rPr>
          <w:rFonts w:ascii="Times New Roman" w:hAnsi="Times New Roman" w:cs="Times New Roman"/>
          <w:sz w:val="24"/>
          <w:szCs w:val="24"/>
          <w:lang w:val="ro-RO"/>
        </w:rPr>
        <w:t>2) p</w:t>
      </w:r>
      <w:r w:rsidR="001E490D" w:rsidRPr="00CD3FFF">
        <w:rPr>
          <w:rFonts w:ascii="Times New Roman" w:hAnsi="Times New Roman" w:cs="Times New Roman"/>
          <w:sz w:val="24"/>
          <w:szCs w:val="24"/>
          <w:lang w:val="ro-RO"/>
        </w:rPr>
        <w:t>ovara financiară la care sunt supuși indivizii ca urmare a accesării serviciilor de sănătate</w:t>
      </w:r>
      <w:r w:rsidR="00BE26CB" w:rsidRPr="00CD3FF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33973" w:rsidRPr="00CD3FFF">
        <w:rPr>
          <w:rFonts w:ascii="Times New Roman" w:hAnsi="Times New Roman" w:cs="Times New Roman"/>
          <w:sz w:val="24"/>
          <w:szCs w:val="24"/>
          <w:lang w:val="pt-BR"/>
        </w:rPr>
        <w:t xml:space="preserve"> Conform raportului de monitorizare, în Regiunea Europeană a Organizației Mondiale a Sănătății, s-a înregistrat în anul 2015 un indice de acoperire a serviciilor de sănătate de 73. Acest indice atingea în acelaș</w:t>
      </w:r>
      <w:r w:rsidRPr="00CD3FFF">
        <w:rPr>
          <w:rFonts w:ascii="Times New Roman" w:hAnsi="Times New Roman" w:cs="Times New Roman"/>
          <w:sz w:val="24"/>
          <w:szCs w:val="24"/>
          <w:lang w:val="pt-BR"/>
        </w:rPr>
        <w:t>i an în România valoarea de 72.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În ceea ce privește povara financiară consecutivă accesării serviciilor de sănătate, la nivelul Regiunii Europene a O</w:t>
      </w: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rganizaţiei 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ondiale a 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D3FFF">
        <w:rPr>
          <w:rFonts w:ascii="Times New Roman" w:hAnsi="Times New Roman" w:cs="Times New Roman"/>
          <w:sz w:val="24"/>
          <w:szCs w:val="24"/>
          <w:lang w:val="ro-RO"/>
        </w:rPr>
        <w:t>ănătăţii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DC4F55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în anul 2010, 7% din populație 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>cheltuia cu 10% mai mult față de venitul total al gospodăriei ș</w:t>
      </w:r>
      <w:r w:rsidR="00DC4F55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i respectiv 1% 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>cheltuia cu 25% mai mult față de venitul total al gospodăriei pentru plata serviciilor de sănătate. În perioada 1998-2012, în România, proporția</w:t>
      </w:r>
      <w:r w:rsidR="00CD3FFF"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4AD0" w:rsidRPr="00CD3FFF">
        <w:rPr>
          <w:rFonts w:ascii="Times New Roman" w:hAnsi="Times New Roman" w:cs="Times New Roman"/>
          <w:sz w:val="24"/>
          <w:szCs w:val="24"/>
          <w:lang w:val="ro-RO"/>
        </w:rPr>
        <w:t>din populație care a suportat cheltuieli ”catastrofale” pentru plata serviciilor de sănătate a prezentat un trend ușor ascendent.A crescut de la 6 la 12% proporţia din populație a celor care au cheltuit cu 10% mai mult față de venitul total al gospodăriei și de la 1 la 2% a celor care au cheltuit cu 25% mai mult față de venitul total al gospodăriei pentru plata serv</w:t>
      </w:r>
      <w:r w:rsidR="00602CAC">
        <w:rPr>
          <w:rFonts w:ascii="Times New Roman" w:hAnsi="Times New Roman" w:cs="Times New Roman"/>
          <w:sz w:val="24"/>
          <w:szCs w:val="24"/>
          <w:lang w:val="ro-RO"/>
        </w:rPr>
        <w:t>iciilor de sănătate.</w:t>
      </w:r>
    </w:p>
    <w:p w:rsidR="000A4AD0" w:rsidRPr="00602CAC" w:rsidRDefault="000A4AD0" w:rsidP="00602CA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CD3F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3FFF" w:rsidRPr="00CD3FFF">
        <w:rPr>
          <w:rFonts w:ascii="Times New Roman" w:hAnsi="Times New Roman" w:cs="Times New Roman"/>
          <w:sz w:val="24"/>
          <w:szCs w:val="24"/>
          <w:lang w:val="pt-BR"/>
        </w:rPr>
        <w:t xml:space="preserve">Cu prilejul celebrării Zilei Mondiale a Sănătății 2018, promovăm sloganul </w:t>
      </w:r>
      <w:r w:rsidR="00CD3FFF" w:rsidRPr="00CD3FFF">
        <w:rPr>
          <w:rFonts w:ascii="Times New Roman" w:hAnsi="Times New Roman" w:cs="Times New Roman"/>
          <w:b/>
          <w:i/>
          <w:sz w:val="24"/>
          <w:szCs w:val="24"/>
          <w:lang w:val="pt-BR"/>
        </w:rPr>
        <w:t>„Sănătate pentru toti!”</w:t>
      </w:r>
    </w:p>
    <w:p w:rsidR="00752D6F" w:rsidRDefault="00773C85" w:rsidP="00602CAC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773C85" w:rsidRPr="00773C85" w:rsidRDefault="00773C85" w:rsidP="00773C85">
      <w:pPr>
        <w:pStyle w:val="NoSpacing"/>
        <w:rPr>
          <w:rFonts w:ascii="Times New Roman" w:hAnsi="Times New Roman" w:cs="Times New Roman"/>
          <w:b/>
          <w:lang w:val="ro-RO"/>
        </w:rPr>
      </w:pPr>
      <w:r w:rsidRPr="00773C85">
        <w:rPr>
          <w:rFonts w:ascii="Times New Roman" w:hAnsi="Times New Roman" w:cs="Times New Roman"/>
          <w:b/>
          <w:lang w:val="ro-RO"/>
        </w:rPr>
        <w:t>Cu stimă,</w:t>
      </w:r>
    </w:p>
    <w:p w:rsidR="00773C85" w:rsidRPr="00773C85" w:rsidRDefault="00773C85" w:rsidP="00773C85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r w:rsidRPr="00773C85">
        <w:rPr>
          <w:rFonts w:ascii="Times New Roman" w:hAnsi="Times New Roman" w:cs="Times New Roman"/>
          <w:b/>
          <w:lang w:val="pt-BR"/>
        </w:rPr>
        <w:t>DIRECTOR EXECUTIV</w:t>
      </w:r>
    </w:p>
    <w:p w:rsidR="00773C85" w:rsidRPr="00773C85" w:rsidRDefault="00773C85" w:rsidP="00773C85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r w:rsidRPr="00773C85">
        <w:rPr>
          <w:rFonts w:ascii="Times New Roman" w:hAnsi="Times New Roman" w:cs="Times New Roman"/>
          <w:b/>
          <w:lang w:val="pt-BR"/>
        </w:rPr>
        <w:t>Dr.MIHAI MOISESCU- GOIA</w:t>
      </w:r>
    </w:p>
    <w:p w:rsidR="00703FA8" w:rsidRPr="00CD3FFF" w:rsidRDefault="00703FA8" w:rsidP="00773C85">
      <w:pPr>
        <w:pStyle w:val="NoSpacing"/>
        <w:jc w:val="center"/>
        <w:rPr>
          <w:rFonts w:ascii="Times New Roman" w:eastAsia="SimSun" w:hAnsi="Times New Roman" w:cs="Times New Roman"/>
          <w:sz w:val="24"/>
          <w:szCs w:val="24"/>
          <w:lang w:val="ro-RO"/>
        </w:rPr>
      </w:pPr>
    </w:p>
    <w:p w:rsidR="00564986" w:rsidRPr="00CD3FFF" w:rsidRDefault="00564986" w:rsidP="00602CAC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564986" w:rsidRPr="00CD3FFF" w:rsidSect="004B19C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B56E60"/>
    <w:multiLevelType w:val="hybridMultilevel"/>
    <w:tmpl w:val="420C55F6"/>
    <w:lvl w:ilvl="0" w:tplc="2CC4B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A0E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02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21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2E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F44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C6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E7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C6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D90547"/>
    <w:multiLevelType w:val="hybridMultilevel"/>
    <w:tmpl w:val="4C44599E"/>
    <w:lvl w:ilvl="0" w:tplc="85A69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E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60E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45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64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04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6C5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8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1FF0694"/>
    <w:multiLevelType w:val="hybridMultilevel"/>
    <w:tmpl w:val="1BD2AE36"/>
    <w:lvl w:ilvl="0" w:tplc="E7D8FB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471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A58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05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80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F210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E15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67F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0D8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D3BBA"/>
    <w:multiLevelType w:val="multilevel"/>
    <w:tmpl w:val="1868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46"/>
    <w:rsid w:val="0001554D"/>
    <w:rsid w:val="000167DA"/>
    <w:rsid w:val="00056D54"/>
    <w:rsid w:val="0007589D"/>
    <w:rsid w:val="00086595"/>
    <w:rsid w:val="00087234"/>
    <w:rsid w:val="00097976"/>
    <w:rsid w:val="000A4AD0"/>
    <w:rsid w:val="00102448"/>
    <w:rsid w:val="00144684"/>
    <w:rsid w:val="001C54DD"/>
    <w:rsid w:val="001D1BFD"/>
    <w:rsid w:val="001E490D"/>
    <w:rsid w:val="00245D4B"/>
    <w:rsid w:val="002E40AA"/>
    <w:rsid w:val="00391B2A"/>
    <w:rsid w:val="003928F4"/>
    <w:rsid w:val="0039425E"/>
    <w:rsid w:val="003A2545"/>
    <w:rsid w:val="003D16D1"/>
    <w:rsid w:val="004220A9"/>
    <w:rsid w:val="00437C8C"/>
    <w:rsid w:val="004B19C1"/>
    <w:rsid w:val="004E667C"/>
    <w:rsid w:val="00540C8B"/>
    <w:rsid w:val="00554ABB"/>
    <w:rsid w:val="00564986"/>
    <w:rsid w:val="005B00B0"/>
    <w:rsid w:val="005C2534"/>
    <w:rsid w:val="00602CAC"/>
    <w:rsid w:val="00626E2E"/>
    <w:rsid w:val="00697944"/>
    <w:rsid w:val="006B3639"/>
    <w:rsid w:val="00703FA8"/>
    <w:rsid w:val="00730856"/>
    <w:rsid w:val="0073425F"/>
    <w:rsid w:val="00752D6F"/>
    <w:rsid w:val="007723D3"/>
    <w:rsid w:val="00773C85"/>
    <w:rsid w:val="00775A49"/>
    <w:rsid w:val="007B3CD2"/>
    <w:rsid w:val="00843841"/>
    <w:rsid w:val="00843C9C"/>
    <w:rsid w:val="008D2065"/>
    <w:rsid w:val="008F4FD1"/>
    <w:rsid w:val="0090433D"/>
    <w:rsid w:val="00915D8B"/>
    <w:rsid w:val="00925DBF"/>
    <w:rsid w:val="009B6E2A"/>
    <w:rsid w:val="009D0122"/>
    <w:rsid w:val="009D6CC5"/>
    <w:rsid w:val="009D6EDF"/>
    <w:rsid w:val="009E5290"/>
    <w:rsid w:val="00A24595"/>
    <w:rsid w:val="00A2722B"/>
    <w:rsid w:val="00A33973"/>
    <w:rsid w:val="00A5435F"/>
    <w:rsid w:val="00A61BDE"/>
    <w:rsid w:val="00A76F5D"/>
    <w:rsid w:val="00A77920"/>
    <w:rsid w:val="00A933D5"/>
    <w:rsid w:val="00AD06D2"/>
    <w:rsid w:val="00B30ED9"/>
    <w:rsid w:val="00B52B5F"/>
    <w:rsid w:val="00B55B5C"/>
    <w:rsid w:val="00BB573D"/>
    <w:rsid w:val="00BB6BBF"/>
    <w:rsid w:val="00BD69EB"/>
    <w:rsid w:val="00BD73BA"/>
    <w:rsid w:val="00BE26CB"/>
    <w:rsid w:val="00C0701F"/>
    <w:rsid w:val="00C313D8"/>
    <w:rsid w:val="00C359BF"/>
    <w:rsid w:val="00C64546"/>
    <w:rsid w:val="00C90BE9"/>
    <w:rsid w:val="00CC141A"/>
    <w:rsid w:val="00CD3FFF"/>
    <w:rsid w:val="00CE69D3"/>
    <w:rsid w:val="00D06D64"/>
    <w:rsid w:val="00DC240E"/>
    <w:rsid w:val="00DC4F55"/>
    <w:rsid w:val="00E155E3"/>
    <w:rsid w:val="00E2184C"/>
    <w:rsid w:val="00E679EF"/>
    <w:rsid w:val="00E94867"/>
    <w:rsid w:val="00ED2146"/>
    <w:rsid w:val="00F21F65"/>
    <w:rsid w:val="00F2573E"/>
    <w:rsid w:val="00F67E36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3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0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38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6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34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59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519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2018-03-19T08:27:00Z</cp:lastPrinted>
  <dcterms:created xsi:type="dcterms:W3CDTF">2018-03-15T07:03:00Z</dcterms:created>
  <dcterms:modified xsi:type="dcterms:W3CDTF">2018-04-03T05:19:00Z</dcterms:modified>
</cp:coreProperties>
</file>