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DFC43" w14:textId="77777777" w:rsidR="008F2139" w:rsidRPr="008775E1" w:rsidRDefault="008F2139" w:rsidP="008F2139">
      <w:pPr>
        <w:pStyle w:val="Default"/>
        <w:rPr>
          <w:lang w:val="ro-RO"/>
        </w:rPr>
      </w:pPr>
    </w:p>
    <w:p w14:paraId="7C23701A" w14:textId="77777777" w:rsidR="008F2139" w:rsidRPr="008775E1" w:rsidRDefault="008F2139" w:rsidP="008F2139">
      <w:pPr>
        <w:pStyle w:val="Default"/>
        <w:jc w:val="center"/>
        <w:rPr>
          <w:sz w:val="28"/>
          <w:szCs w:val="28"/>
          <w:lang w:val="ro-RO"/>
        </w:rPr>
      </w:pPr>
      <w:r w:rsidRPr="008775E1">
        <w:rPr>
          <w:b/>
          <w:bCs/>
          <w:sz w:val="28"/>
          <w:szCs w:val="28"/>
          <w:lang w:val="ro-RO"/>
        </w:rPr>
        <w:t>ANALIZA DE SITUAŢIE</w:t>
      </w:r>
    </w:p>
    <w:p w14:paraId="76908682" w14:textId="77777777" w:rsidR="00B0212E" w:rsidRPr="008775E1" w:rsidRDefault="008F2139" w:rsidP="008775E1">
      <w:pPr>
        <w:jc w:val="center"/>
        <w:rPr>
          <w:b/>
        </w:rPr>
      </w:pPr>
      <w:r w:rsidRPr="008775E1">
        <w:rPr>
          <w:b/>
        </w:rPr>
        <w:t>ZIUA NAŢIONALĂ FĂRĂ TUTUN 2019</w:t>
      </w:r>
    </w:p>
    <w:p w14:paraId="21852D2D" w14:textId="77777777" w:rsidR="008F2139" w:rsidRDefault="008F2139" w:rsidP="008775E1">
      <w:pPr>
        <w:jc w:val="center"/>
        <w:rPr>
          <w:b/>
        </w:rPr>
      </w:pPr>
      <w:r w:rsidRPr="008775E1">
        <w:rPr>
          <w:b/>
        </w:rPr>
        <w:t>« Pentru sănătate spune NU consumului de tutun ! »</w:t>
      </w:r>
    </w:p>
    <w:p w14:paraId="1285F0A5" w14:textId="77777777" w:rsidR="003F4CAC" w:rsidRPr="003F4CAC" w:rsidRDefault="003F4CAC" w:rsidP="008775E1">
      <w:pPr>
        <w:jc w:val="center"/>
        <w:rPr>
          <w:b/>
          <w:sz w:val="24"/>
          <w:szCs w:val="24"/>
        </w:rPr>
      </w:pPr>
    </w:p>
    <w:p w14:paraId="191183B0" w14:textId="4FF5A8FD" w:rsidR="003F4CAC" w:rsidRPr="003F4CAC" w:rsidRDefault="003F4CAC" w:rsidP="008775E1">
      <w:pPr>
        <w:jc w:val="center"/>
        <w:rPr>
          <w:b/>
          <w:sz w:val="24"/>
          <w:szCs w:val="24"/>
        </w:rPr>
      </w:pPr>
      <w:r w:rsidRPr="003F4CAC">
        <w:rPr>
          <w:b/>
          <w:sz w:val="24"/>
          <w:szCs w:val="24"/>
        </w:rPr>
        <w:t>CUPRINS</w:t>
      </w:r>
    </w:p>
    <w:p w14:paraId="02E1FA48" w14:textId="77777777" w:rsidR="003F4CAC" w:rsidRPr="003F4CAC" w:rsidRDefault="003F4CAC" w:rsidP="008775E1">
      <w:pPr>
        <w:jc w:val="center"/>
        <w:rPr>
          <w:b/>
          <w:sz w:val="24"/>
          <w:szCs w:val="24"/>
        </w:rPr>
      </w:pPr>
    </w:p>
    <w:p w14:paraId="33C5193A" w14:textId="7A3F9C71" w:rsidR="003F4CAC" w:rsidRPr="003F4CAC" w:rsidRDefault="003F4CAC" w:rsidP="003F4CAC">
      <w:pPr>
        <w:spacing w:before="0" w:beforeAutospacing="0" w:after="0" w:afterAutospacing="0" w:line="480" w:lineRule="auto"/>
        <w:jc w:val="left"/>
        <w:rPr>
          <w:b/>
          <w:bCs/>
          <w:iCs/>
          <w:sz w:val="24"/>
          <w:szCs w:val="24"/>
        </w:rPr>
      </w:pPr>
      <w:r w:rsidRPr="003F4CAC">
        <w:rPr>
          <w:b/>
          <w:bCs/>
          <w:iCs/>
          <w:sz w:val="24"/>
          <w:szCs w:val="24"/>
        </w:rPr>
        <w:t>Date statistice la nivel global, european si national privind consumul de tutun</w:t>
      </w:r>
      <w:r w:rsidRPr="003F4CAC">
        <w:rPr>
          <w:b/>
          <w:bCs/>
          <w:iCs/>
          <w:sz w:val="24"/>
          <w:szCs w:val="24"/>
        </w:rPr>
        <w:t>...................</w:t>
      </w:r>
      <w:r w:rsidR="00606586">
        <w:rPr>
          <w:b/>
          <w:bCs/>
          <w:iCs/>
          <w:sz w:val="24"/>
          <w:szCs w:val="24"/>
        </w:rPr>
        <w:t>.............</w:t>
      </w:r>
      <w:r w:rsidRPr="003F4CAC">
        <w:rPr>
          <w:b/>
          <w:bCs/>
          <w:iCs/>
          <w:sz w:val="24"/>
          <w:szCs w:val="24"/>
        </w:rPr>
        <w:t>.</w:t>
      </w:r>
      <w:r w:rsidR="00606586">
        <w:rPr>
          <w:b/>
          <w:bCs/>
          <w:iCs/>
          <w:sz w:val="24"/>
          <w:szCs w:val="24"/>
        </w:rPr>
        <w:t>1</w:t>
      </w:r>
    </w:p>
    <w:p w14:paraId="1D837BA7" w14:textId="0CFB8C03" w:rsidR="003F4CAC" w:rsidRPr="003F4CAC" w:rsidRDefault="003F4CAC" w:rsidP="003F4CAC">
      <w:pPr>
        <w:spacing w:before="0" w:beforeAutospacing="0" w:after="0" w:afterAutospacing="0" w:line="480" w:lineRule="auto"/>
        <w:jc w:val="left"/>
        <w:rPr>
          <w:b/>
          <w:bCs/>
          <w:iCs/>
          <w:sz w:val="24"/>
          <w:szCs w:val="24"/>
        </w:rPr>
      </w:pPr>
      <w:r w:rsidRPr="003F4CAC">
        <w:rPr>
          <w:b/>
          <w:bCs/>
          <w:iCs/>
          <w:sz w:val="24"/>
          <w:szCs w:val="24"/>
        </w:rPr>
        <w:t>Date din studii internaționale privind impactul fumatului asupra sănătții adulților și copiilor</w:t>
      </w:r>
      <w:r w:rsidRPr="003F4CAC">
        <w:rPr>
          <w:b/>
          <w:bCs/>
          <w:iCs/>
          <w:sz w:val="24"/>
          <w:szCs w:val="24"/>
        </w:rPr>
        <w:t>.....</w:t>
      </w:r>
      <w:r w:rsidR="00606586">
        <w:rPr>
          <w:b/>
          <w:bCs/>
          <w:iCs/>
          <w:sz w:val="24"/>
          <w:szCs w:val="24"/>
        </w:rPr>
        <w:t>11</w:t>
      </w:r>
    </w:p>
    <w:p w14:paraId="672A6F58" w14:textId="3B850C8F" w:rsidR="003F4CAC" w:rsidRPr="003F4CAC" w:rsidRDefault="003F4CAC" w:rsidP="003F4CAC">
      <w:pPr>
        <w:spacing w:before="0" w:beforeAutospacing="0" w:after="0" w:afterAutospacing="0" w:line="480" w:lineRule="auto"/>
        <w:jc w:val="left"/>
        <w:rPr>
          <w:b/>
          <w:bCs/>
          <w:iCs/>
          <w:sz w:val="24"/>
          <w:szCs w:val="24"/>
        </w:rPr>
      </w:pPr>
      <w:proofErr w:type="spellStart"/>
      <w:r w:rsidRPr="003F4CAC">
        <w:rPr>
          <w:b/>
          <w:bCs/>
          <w:iCs/>
          <w:sz w:val="24"/>
          <w:szCs w:val="24"/>
          <w:lang w:val="fr-FR"/>
        </w:rPr>
        <w:t>Politici</w:t>
      </w:r>
      <w:proofErr w:type="spellEnd"/>
      <w:r w:rsidRPr="003F4CAC">
        <w:rPr>
          <w:b/>
          <w:bCs/>
          <w:iCs/>
          <w:sz w:val="24"/>
          <w:szCs w:val="24"/>
          <w:lang w:val="fr-FR"/>
        </w:rPr>
        <w:t xml:space="preserve">, </w:t>
      </w:r>
      <w:proofErr w:type="spellStart"/>
      <w:r w:rsidRPr="003F4CAC">
        <w:rPr>
          <w:b/>
          <w:bCs/>
          <w:iCs/>
          <w:sz w:val="24"/>
          <w:szCs w:val="24"/>
          <w:lang w:val="fr-FR"/>
        </w:rPr>
        <w:t>strategii</w:t>
      </w:r>
      <w:proofErr w:type="spellEnd"/>
      <w:r w:rsidRPr="003F4CAC">
        <w:rPr>
          <w:b/>
          <w:bCs/>
          <w:iCs/>
          <w:sz w:val="24"/>
          <w:szCs w:val="24"/>
          <w:lang w:val="fr-FR"/>
        </w:rPr>
        <w:t xml:space="preserve"> </w:t>
      </w:r>
      <w:proofErr w:type="spellStart"/>
      <w:r w:rsidRPr="003F4CAC">
        <w:rPr>
          <w:b/>
          <w:bCs/>
          <w:iCs/>
          <w:sz w:val="24"/>
          <w:szCs w:val="24"/>
          <w:lang w:val="fr-FR"/>
        </w:rPr>
        <w:t>și</w:t>
      </w:r>
      <w:proofErr w:type="spellEnd"/>
      <w:r w:rsidRPr="003F4CAC">
        <w:rPr>
          <w:b/>
          <w:bCs/>
          <w:iCs/>
          <w:sz w:val="24"/>
          <w:szCs w:val="24"/>
          <w:lang w:val="fr-FR"/>
        </w:rPr>
        <w:t xml:space="preserve"> </w:t>
      </w:r>
      <w:proofErr w:type="spellStart"/>
      <w:r w:rsidRPr="003F4CAC">
        <w:rPr>
          <w:b/>
          <w:bCs/>
          <w:iCs/>
          <w:sz w:val="24"/>
          <w:szCs w:val="24"/>
          <w:lang w:val="fr-FR"/>
        </w:rPr>
        <w:t>programe</w:t>
      </w:r>
      <w:proofErr w:type="spellEnd"/>
      <w:r w:rsidRPr="003F4CAC">
        <w:rPr>
          <w:b/>
          <w:bCs/>
          <w:iCs/>
          <w:sz w:val="24"/>
          <w:szCs w:val="24"/>
          <w:lang w:val="fr-FR"/>
        </w:rPr>
        <w:t xml:space="preserve"> </w:t>
      </w:r>
      <w:proofErr w:type="spellStart"/>
      <w:r w:rsidRPr="003F4CAC">
        <w:rPr>
          <w:b/>
          <w:bCs/>
          <w:iCs/>
          <w:sz w:val="24"/>
          <w:szCs w:val="24"/>
          <w:lang w:val="fr-FR"/>
        </w:rPr>
        <w:t>existente</w:t>
      </w:r>
      <w:proofErr w:type="spellEnd"/>
      <w:r w:rsidRPr="003F4CAC">
        <w:rPr>
          <w:b/>
          <w:bCs/>
          <w:iCs/>
          <w:sz w:val="24"/>
          <w:szCs w:val="24"/>
          <w:lang w:val="fr-FR"/>
        </w:rPr>
        <w:t xml:space="preserve"> la </w:t>
      </w:r>
      <w:proofErr w:type="spellStart"/>
      <w:r w:rsidRPr="003F4CAC">
        <w:rPr>
          <w:b/>
          <w:bCs/>
          <w:iCs/>
          <w:sz w:val="24"/>
          <w:szCs w:val="24"/>
          <w:lang w:val="fr-FR"/>
        </w:rPr>
        <w:t>nivel</w:t>
      </w:r>
      <w:proofErr w:type="spellEnd"/>
      <w:r w:rsidRPr="003F4CAC">
        <w:rPr>
          <w:b/>
          <w:bCs/>
          <w:iCs/>
          <w:sz w:val="24"/>
          <w:szCs w:val="24"/>
          <w:lang w:val="fr-FR"/>
        </w:rPr>
        <w:t xml:space="preserve"> global </w:t>
      </w:r>
      <w:proofErr w:type="spellStart"/>
      <w:r w:rsidRPr="003F4CAC">
        <w:rPr>
          <w:b/>
          <w:bCs/>
          <w:iCs/>
          <w:sz w:val="24"/>
          <w:szCs w:val="24"/>
          <w:lang w:val="fr-FR"/>
        </w:rPr>
        <w:t>și</w:t>
      </w:r>
      <w:proofErr w:type="spellEnd"/>
      <w:r w:rsidRPr="003F4CAC">
        <w:rPr>
          <w:b/>
          <w:bCs/>
          <w:iCs/>
          <w:sz w:val="24"/>
          <w:szCs w:val="24"/>
          <w:lang w:val="fr-FR"/>
        </w:rPr>
        <w:t xml:space="preserve"> </w:t>
      </w:r>
      <w:proofErr w:type="spellStart"/>
      <w:r w:rsidRPr="003F4CAC">
        <w:rPr>
          <w:b/>
          <w:bCs/>
          <w:iCs/>
          <w:sz w:val="24"/>
          <w:szCs w:val="24"/>
          <w:lang w:val="fr-FR"/>
        </w:rPr>
        <w:t>național</w:t>
      </w:r>
      <w:proofErr w:type="spellEnd"/>
      <w:r w:rsidRPr="003F4CAC">
        <w:rPr>
          <w:b/>
          <w:bCs/>
          <w:iCs/>
          <w:sz w:val="24"/>
          <w:szCs w:val="24"/>
          <w:lang w:val="fr-FR"/>
        </w:rPr>
        <w:t>……………………</w:t>
      </w:r>
      <w:r w:rsidR="00606586">
        <w:rPr>
          <w:b/>
          <w:bCs/>
          <w:iCs/>
          <w:sz w:val="24"/>
          <w:szCs w:val="24"/>
          <w:lang w:val="fr-FR"/>
        </w:rPr>
        <w:t>………….</w:t>
      </w:r>
      <w:r w:rsidRPr="003F4CAC">
        <w:rPr>
          <w:b/>
          <w:bCs/>
          <w:iCs/>
          <w:sz w:val="24"/>
          <w:szCs w:val="24"/>
          <w:lang w:val="fr-FR"/>
        </w:rPr>
        <w:t>….</w:t>
      </w:r>
      <w:r w:rsidR="00606586">
        <w:rPr>
          <w:b/>
          <w:bCs/>
          <w:iCs/>
          <w:sz w:val="24"/>
          <w:szCs w:val="24"/>
          <w:lang w:val="fr-FR"/>
        </w:rPr>
        <w:t>13</w:t>
      </w:r>
    </w:p>
    <w:p w14:paraId="73CEA0AA" w14:textId="75619ABA" w:rsidR="003F4CAC" w:rsidRPr="003F4CAC" w:rsidRDefault="003F4CAC" w:rsidP="003F4CAC">
      <w:pPr>
        <w:spacing w:before="0" w:beforeAutospacing="0" w:after="0" w:afterAutospacing="0" w:line="480" w:lineRule="auto"/>
        <w:jc w:val="left"/>
        <w:rPr>
          <w:b/>
          <w:bCs/>
          <w:iCs/>
          <w:sz w:val="24"/>
          <w:szCs w:val="24"/>
        </w:rPr>
      </w:pPr>
      <w:r w:rsidRPr="003F4CAC">
        <w:rPr>
          <w:b/>
          <w:bCs/>
          <w:iCs/>
          <w:sz w:val="24"/>
          <w:szCs w:val="24"/>
        </w:rPr>
        <w:t>Analiza grupurilor populaționale</w:t>
      </w:r>
      <w:r w:rsidRPr="003F4CAC">
        <w:rPr>
          <w:b/>
          <w:bCs/>
          <w:iCs/>
          <w:sz w:val="24"/>
          <w:szCs w:val="24"/>
        </w:rPr>
        <w:t>...............................................</w:t>
      </w:r>
      <w:r w:rsidR="00606586">
        <w:rPr>
          <w:b/>
          <w:bCs/>
          <w:iCs/>
          <w:sz w:val="24"/>
          <w:szCs w:val="24"/>
        </w:rPr>
        <w:t>.........................................................</w:t>
      </w:r>
      <w:r w:rsidRPr="003F4CAC">
        <w:rPr>
          <w:b/>
          <w:bCs/>
          <w:iCs/>
          <w:sz w:val="24"/>
          <w:szCs w:val="24"/>
        </w:rPr>
        <w:t>..</w:t>
      </w:r>
      <w:r w:rsidR="00606586">
        <w:rPr>
          <w:b/>
          <w:bCs/>
          <w:iCs/>
          <w:sz w:val="24"/>
          <w:szCs w:val="24"/>
        </w:rPr>
        <w:t>15</w:t>
      </w:r>
    </w:p>
    <w:p w14:paraId="4A07CCC5" w14:textId="2DABDE1B" w:rsidR="003F4CAC" w:rsidRPr="00C04F39" w:rsidRDefault="003F4CAC" w:rsidP="003F4CAC">
      <w:pPr>
        <w:spacing w:before="0" w:beforeAutospacing="0" w:after="0" w:afterAutospacing="0" w:line="480" w:lineRule="auto"/>
        <w:jc w:val="left"/>
        <w:rPr>
          <w:b/>
          <w:bCs/>
          <w:iCs/>
          <w:color w:val="000000"/>
          <w:sz w:val="24"/>
          <w:szCs w:val="24"/>
        </w:rPr>
      </w:pPr>
      <w:r w:rsidRPr="003F4CAC">
        <w:rPr>
          <w:b/>
          <w:bCs/>
          <w:iCs/>
          <w:color w:val="000000"/>
          <w:sz w:val="24"/>
          <w:szCs w:val="24"/>
        </w:rPr>
        <w:t>Campanii IEC desfăşurate până în prezent în România pentru ZNT</w:t>
      </w:r>
      <w:r w:rsidRPr="003F4CAC">
        <w:rPr>
          <w:b/>
          <w:bCs/>
          <w:iCs/>
          <w:color w:val="000000"/>
          <w:sz w:val="24"/>
          <w:szCs w:val="24"/>
        </w:rPr>
        <w:t>......................</w:t>
      </w:r>
      <w:r w:rsidR="00606586">
        <w:rPr>
          <w:b/>
          <w:bCs/>
          <w:iCs/>
          <w:color w:val="000000"/>
          <w:sz w:val="24"/>
          <w:szCs w:val="24"/>
        </w:rPr>
        <w:t>..............</w:t>
      </w:r>
      <w:r w:rsidR="00C04F39">
        <w:rPr>
          <w:b/>
          <w:bCs/>
          <w:iCs/>
          <w:color w:val="000000"/>
          <w:sz w:val="24"/>
          <w:szCs w:val="24"/>
        </w:rPr>
        <w:t>..</w:t>
      </w:r>
      <w:r w:rsidRPr="003F4CAC">
        <w:rPr>
          <w:b/>
          <w:bCs/>
          <w:iCs/>
          <w:color w:val="000000"/>
          <w:sz w:val="24"/>
          <w:szCs w:val="24"/>
        </w:rPr>
        <w:t>.........</w:t>
      </w:r>
      <w:r w:rsidR="00606586">
        <w:rPr>
          <w:b/>
          <w:bCs/>
          <w:iCs/>
          <w:color w:val="000000"/>
          <w:sz w:val="24"/>
          <w:szCs w:val="24"/>
        </w:rPr>
        <w:t>16</w:t>
      </w:r>
    </w:p>
    <w:p w14:paraId="22D6ADC4" w14:textId="77777777" w:rsidR="00606586" w:rsidRDefault="00606586" w:rsidP="008775E1">
      <w:pPr>
        <w:spacing w:before="0" w:beforeAutospacing="0" w:after="120" w:afterAutospacing="0"/>
      </w:pPr>
    </w:p>
    <w:p w14:paraId="0D22EC3F" w14:textId="77777777" w:rsidR="008F2139" w:rsidRPr="008775E1" w:rsidRDefault="008F2139" w:rsidP="008775E1">
      <w:pPr>
        <w:spacing w:before="0" w:beforeAutospacing="0" w:after="120" w:afterAutospacing="0"/>
      </w:pPr>
      <w:r w:rsidRPr="008775E1">
        <w:t xml:space="preserve">În scopul sensibilizării populaţiei României referitor la beneficiul renunţării la fumat, Guvernul României, în temeiul art. 107 alin. (2) din Constituţie şi al art. 8 din Legea nr. 349/2002 pentru prevenirea şi combatarea efectelor consumului produselor din tutun, a adoptat Hotărârea 1270/2002, prin care, cea de-a 3-a zi de joi a lunii noiembrie se declară “Ziua Naţională fără Tutun”. Campania reprezintă o oportunitate pentru creșterea gradului de conștientizare în rândul populației privind efectele nocive ale consumului de tutun și ale fumatului pasiv, cu scopul prevenirii iniţierii consumului, precum și pentru descurajarea utilizării tutunului sub orice formă. </w:t>
      </w:r>
    </w:p>
    <w:p w14:paraId="0FCDD8A6" w14:textId="77777777" w:rsidR="008775E1" w:rsidRDefault="008775E1" w:rsidP="008775E1">
      <w:pPr>
        <w:spacing w:before="0" w:beforeAutospacing="0" w:after="120" w:afterAutospacing="0"/>
        <w:rPr>
          <w:b/>
          <w:bCs/>
          <w:i/>
          <w:iCs/>
        </w:rPr>
      </w:pPr>
      <w:r w:rsidRPr="008775E1">
        <w:t xml:space="preserve">I. </w:t>
      </w:r>
      <w:r w:rsidRPr="008775E1">
        <w:rPr>
          <w:b/>
          <w:bCs/>
          <w:i/>
          <w:iCs/>
        </w:rPr>
        <w:t>Date statistice la nivel global, european si national privind consumul de tutun</w:t>
      </w:r>
    </w:p>
    <w:p w14:paraId="66FD0EC7" w14:textId="77777777" w:rsidR="00AA53A7" w:rsidRPr="00AA53A7" w:rsidRDefault="00AA53A7" w:rsidP="008775E1">
      <w:pPr>
        <w:spacing w:before="0" w:beforeAutospacing="0" w:after="120" w:afterAutospacing="0"/>
        <w:rPr>
          <w:bCs/>
          <w:iCs/>
          <w:u w:val="single"/>
        </w:rPr>
      </w:pPr>
      <w:r w:rsidRPr="00AA53A7">
        <w:rPr>
          <w:bCs/>
          <w:i/>
          <w:iCs/>
          <w:u w:val="single"/>
        </w:rPr>
        <w:t>a. La nivel global</w:t>
      </w:r>
    </w:p>
    <w:p w14:paraId="152CC428" w14:textId="77777777" w:rsidR="008775E1" w:rsidRDefault="008775E1" w:rsidP="008775E1">
      <w:pPr>
        <w:spacing w:before="0" w:beforeAutospacing="0" w:after="120" w:afterAutospacing="0"/>
      </w:pPr>
      <w:r w:rsidRPr="008775E1">
        <w:t>Cauză principală de deces, boală și sărăcie, epidemia de tutun este una dintre cele mai mari amenințări la adresa sănătății publice cu care s-a confruntat lumea, omorând peste 8 milioane de persoane pe an. Mai mult de 7 milioane din decese sunt rezultatul direct al consumului de tutun, în timp ce aproximativ 1,2 milioane sunt rezultatul expunerii nefumătorilor la fumul de tutun ambi</w:t>
      </w:r>
      <w:r>
        <w:t>ental – fumatul pasiv (1, 2).</w:t>
      </w:r>
      <w:r w:rsidRPr="008775E1">
        <w:t xml:space="preserve"> Tutunul este singurul produs consumat legal care poate ucide până la jumătate din cei care îl folosesc ca atare. Cu toate acestea, consumul de tutun este frecvent în întreaga lume datorită prețurilor relativ scăzute, a comercializării agresive și răspândite, a lipsei de conștientizare privind pericolele sale și a politicilor publice de control diverse și inconsistente (3). Costul total al fumatului (cheltuielile de sănătate și pierderile de productivitate) este de peste 1.400 miliarde de dolari, reprezentând echivalentul a 1,8% din produsul intern brut (PIB) anual al lumii. Aproape 40% din aceste costuri apar în țările în curs de dezvoltare, amplificând povara substanțială pe care o resimt aceste state (4, 5).</w:t>
      </w:r>
      <w:r>
        <w:t xml:space="preserve"> </w:t>
      </w:r>
    </w:p>
    <w:p w14:paraId="716E0087" w14:textId="77777777" w:rsidR="006A4661" w:rsidRDefault="00AA53A7" w:rsidP="008775E1">
      <w:pPr>
        <w:spacing w:before="0" w:beforeAutospacing="0" w:after="120" w:afterAutospacing="0"/>
        <w:rPr>
          <w:i/>
          <w:u w:val="single"/>
        </w:rPr>
      </w:pPr>
      <w:r w:rsidRPr="00AA53A7">
        <w:rPr>
          <w:i/>
          <w:u w:val="single"/>
        </w:rPr>
        <w:t>b. La nivel european</w:t>
      </w:r>
    </w:p>
    <w:p w14:paraId="24173E9E" w14:textId="77777777" w:rsidR="00D001A4" w:rsidRDefault="00AA53A7" w:rsidP="00D001A4">
      <w:pPr>
        <w:autoSpaceDE w:val="0"/>
        <w:autoSpaceDN w:val="0"/>
        <w:adjustRightInd w:val="0"/>
        <w:spacing w:before="0" w:beforeAutospacing="0" w:after="0" w:afterAutospacing="0"/>
      </w:pPr>
      <w:r w:rsidRPr="00D001A4">
        <w:t>Prevalenţa consumului de tutun în regiunea europeană a OMS</w:t>
      </w:r>
      <w:r w:rsidR="00F9404D" w:rsidRPr="00D001A4">
        <w:t xml:space="preserve">, 29% pentru populaţia de 15 anui şi peste, </w:t>
      </w:r>
      <w:r w:rsidRPr="00D001A4">
        <w:t xml:space="preserve"> este cea mai mare</w:t>
      </w:r>
      <w:r w:rsidR="00F9404D" w:rsidRPr="00D001A4">
        <w:t xml:space="preserve">, comparativcu restul regiunilor, indicatorul fiind mai mare în cazul sexului masculin (6). </w:t>
      </w:r>
      <w:r w:rsidR="001A436F" w:rsidRPr="00D001A4">
        <w:t xml:space="preserve">Consumul anual </w:t>
      </w:r>
      <w:r w:rsidR="001A436F" w:rsidRPr="00D001A4">
        <w:lastRenderedPageBreak/>
        <w:t xml:space="preserve">de țigarete per capita la persoanele cu vârsta ≥15 ani în 2016 a fost cel mai ridicat în statele  CSI, Grecia, Slovenia, Belgia și Cehia  cel (&gt;2000 țigări), în timp ce în Peninsula Scandinavă, Islanda, Franța și Marea Britanie a fost cel mai scăzut (&lt;1000 țigarete). În România consumul înregistra un număr de 1500 - 2000 țigarete. Anual, 650 000 de europeni mor din cauza bolilor asociate tutunului, dintre care 79 000 prin fumat pasiv (7). Euro-sinoptica prevalenței fumatului la persoanele de gen masculin ≥15 ani înregistra cele mai ridicate valori în statele CSI, Grecia și Bulgaria cu &gt;40% fumători, în timp ce țările scandinave prezentau cel mai scăzut procent, &lt;20%. </w:t>
      </w:r>
      <w:r w:rsidR="00D001A4" w:rsidRPr="00D001A4">
        <w:t>Conform Eurobarometrului 2017, realizat de Comisia Europeană și publicat cu ocazia Zilei Mondiale fără Tutun, in România consumul de tutun se mentine încă relativ ridicat, cu o prevalenţă a fumatului de 28% in rândul celor cu vârsta peste 15 ani, aproape de media europeană (26%).</w:t>
      </w:r>
      <w:r w:rsidR="00D001A4">
        <w:t xml:space="preserve"> </w:t>
      </w:r>
      <w:r w:rsidR="001A436F" w:rsidRPr="00D001A4">
        <w:t xml:space="preserve">Tabelul 1 prezintă impactul fumatului în morbiditatea şi </w:t>
      </w:r>
      <w:r w:rsidR="00D001A4">
        <w:t>mortalitatea prin boli cheie.</w:t>
      </w:r>
    </w:p>
    <w:p w14:paraId="2431316C" w14:textId="4E87D2FC" w:rsidR="00D370A8" w:rsidRDefault="00D370A8" w:rsidP="00D001A4">
      <w:pPr>
        <w:spacing w:after="0" w:afterAutospacing="0"/>
        <w:rPr>
          <w:b/>
          <w:sz w:val="16"/>
          <w:szCs w:val="16"/>
          <w:lang w:val="fr-FR"/>
        </w:rPr>
      </w:pPr>
      <w:r w:rsidRPr="005F2901">
        <w:rPr>
          <w:b/>
          <w:bCs/>
          <w:sz w:val="20"/>
          <w:szCs w:val="20"/>
        </w:rPr>
        <w:t xml:space="preserve">Tabel </w:t>
      </w:r>
      <w:r w:rsidR="00965EF9" w:rsidRPr="005F2901">
        <w:rPr>
          <w:b/>
          <w:bCs/>
          <w:sz w:val="20"/>
          <w:szCs w:val="20"/>
        </w:rPr>
        <w:fldChar w:fldCharType="begin"/>
      </w:r>
      <w:r w:rsidR="00965EF9" w:rsidRPr="005F2901">
        <w:rPr>
          <w:b/>
          <w:bCs/>
          <w:sz w:val="20"/>
          <w:szCs w:val="20"/>
        </w:rPr>
        <w:instrText xml:space="preserve"> SEQ Tabel \* ARABIC </w:instrText>
      </w:r>
      <w:r w:rsidR="00965EF9" w:rsidRPr="005F2901">
        <w:rPr>
          <w:b/>
          <w:bCs/>
          <w:sz w:val="20"/>
          <w:szCs w:val="20"/>
        </w:rPr>
        <w:fldChar w:fldCharType="separate"/>
      </w:r>
      <w:r w:rsidR="00CA1CF9">
        <w:rPr>
          <w:b/>
          <w:bCs/>
          <w:noProof/>
          <w:sz w:val="20"/>
          <w:szCs w:val="20"/>
        </w:rPr>
        <w:t>1</w:t>
      </w:r>
      <w:r w:rsidR="00965EF9" w:rsidRPr="005F2901">
        <w:rPr>
          <w:b/>
          <w:bCs/>
          <w:noProof/>
          <w:sz w:val="20"/>
          <w:szCs w:val="20"/>
        </w:rPr>
        <w:fldChar w:fldCharType="end"/>
      </w:r>
      <w:r w:rsidRPr="005F2901">
        <w:rPr>
          <w:b/>
          <w:bCs/>
          <w:sz w:val="20"/>
          <w:szCs w:val="20"/>
        </w:rPr>
        <w:t>.</w:t>
      </w:r>
      <w:r w:rsidRPr="005F2901">
        <w:rPr>
          <w:b/>
          <w:bCs/>
          <w:sz w:val="20"/>
          <w:szCs w:val="20"/>
          <w:lang w:val="fr-FR"/>
        </w:rPr>
        <w:t xml:space="preserve"> </w:t>
      </w:r>
      <w:proofErr w:type="spellStart"/>
      <w:r w:rsidRPr="005F2901">
        <w:rPr>
          <w:b/>
          <w:bCs/>
          <w:sz w:val="20"/>
          <w:szCs w:val="20"/>
          <w:lang w:val="fr-FR"/>
        </w:rPr>
        <w:t>Ponderea</w:t>
      </w:r>
      <w:proofErr w:type="spellEnd"/>
      <w:r w:rsidRPr="005F2901">
        <w:rPr>
          <w:b/>
          <w:bCs/>
          <w:sz w:val="20"/>
          <w:szCs w:val="20"/>
          <w:lang w:val="fr-FR"/>
        </w:rPr>
        <w:t xml:space="preserve"> </w:t>
      </w:r>
      <w:proofErr w:type="spellStart"/>
      <w:r w:rsidRPr="005F2901">
        <w:rPr>
          <w:b/>
          <w:bCs/>
          <w:sz w:val="20"/>
          <w:szCs w:val="20"/>
          <w:lang w:val="fr-FR"/>
        </w:rPr>
        <w:t>îmbolnăvirilor</w:t>
      </w:r>
      <w:proofErr w:type="spellEnd"/>
      <w:r w:rsidRPr="005F2901">
        <w:rPr>
          <w:b/>
          <w:bCs/>
          <w:sz w:val="20"/>
          <w:szCs w:val="20"/>
          <w:lang w:val="fr-FR"/>
        </w:rPr>
        <w:t xml:space="preserve"> </w:t>
      </w:r>
      <w:proofErr w:type="spellStart"/>
      <w:r w:rsidRPr="005F2901">
        <w:rPr>
          <w:b/>
          <w:bCs/>
          <w:sz w:val="20"/>
          <w:szCs w:val="20"/>
          <w:lang w:val="fr-FR"/>
        </w:rPr>
        <w:t>şi</w:t>
      </w:r>
      <w:proofErr w:type="spellEnd"/>
      <w:r w:rsidRPr="005F2901">
        <w:rPr>
          <w:b/>
          <w:bCs/>
          <w:sz w:val="20"/>
          <w:szCs w:val="20"/>
          <w:lang w:val="fr-FR"/>
        </w:rPr>
        <w:t xml:space="preserve"> rate de </w:t>
      </w:r>
      <w:proofErr w:type="spellStart"/>
      <w:r w:rsidRPr="005F2901">
        <w:rPr>
          <w:b/>
          <w:bCs/>
          <w:sz w:val="20"/>
          <w:szCs w:val="20"/>
          <w:lang w:val="fr-FR"/>
        </w:rPr>
        <w:t>mortalitate</w:t>
      </w:r>
      <w:proofErr w:type="spellEnd"/>
      <w:r w:rsidRPr="005F2901">
        <w:rPr>
          <w:b/>
          <w:bCs/>
          <w:sz w:val="20"/>
          <w:szCs w:val="20"/>
          <w:lang w:val="fr-FR"/>
        </w:rPr>
        <w:t xml:space="preserve"> </w:t>
      </w:r>
      <w:proofErr w:type="spellStart"/>
      <w:r w:rsidRPr="005F2901">
        <w:rPr>
          <w:b/>
          <w:bCs/>
          <w:sz w:val="20"/>
          <w:szCs w:val="20"/>
          <w:lang w:val="fr-FR"/>
        </w:rPr>
        <w:t>atribuibile</w:t>
      </w:r>
      <w:proofErr w:type="spellEnd"/>
      <w:r w:rsidRPr="005F2901">
        <w:rPr>
          <w:b/>
          <w:bCs/>
          <w:sz w:val="20"/>
          <w:szCs w:val="20"/>
          <w:lang w:val="fr-FR"/>
        </w:rPr>
        <w:t xml:space="preserve"> </w:t>
      </w:r>
      <w:proofErr w:type="spellStart"/>
      <w:r w:rsidRPr="005F2901">
        <w:rPr>
          <w:b/>
          <w:bCs/>
          <w:sz w:val="20"/>
          <w:szCs w:val="20"/>
          <w:lang w:val="fr-FR"/>
        </w:rPr>
        <w:t>fumatului</w:t>
      </w:r>
      <w:proofErr w:type="spellEnd"/>
      <w:r w:rsidRPr="005F2901">
        <w:rPr>
          <w:b/>
          <w:bCs/>
          <w:sz w:val="20"/>
          <w:szCs w:val="20"/>
          <w:lang w:val="fr-FR"/>
        </w:rPr>
        <w:t xml:space="preserve"> </w:t>
      </w:r>
      <w:proofErr w:type="spellStart"/>
      <w:r w:rsidRPr="005F2901">
        <w:rPr>
          <w:b/>
          <w:bCs/>
          <w:sz w:val="20"/>
          <w:szCs w:val="20"/>
          <w:lang w:val="fr-FR"/>
        </w:rPr>
        <w:t>în</w:t>
      </w:r>
      <w:proofErr w:type="spellEnd"/>
      <w:r w:rsidRPr="005F2901">
        <w:rPr>
          <w:b/>
          <w:bCs/>
          <w:sz w:val="20"/>
          <w:szCs w:val="20"/>
          <w:lang w:val="fr-FR"/>
        </w:rPr>
        <w:t xml:space="preserve"> </w:t>
      </w:r>
      <w:proofErr w:type="spellStart"/>
      <w:r w:rsidRPr="005F2901">
        <w:rPr>
          <w:b/>
          <w:bCs/>
          <w:sz w:val="20"/>
          <w:szCs w:val="20"/>
          <w:lang w:val="fr-FR"/>
        </w:rPr>
        <w:t>regiunea</w:t>
      </w:r>
      <w:proofErr w:type="spellEnd"/>
      <w:r w:rsidRPr="005F2901">
        <w:rPr>
          <w:b/>
          <w:bCs/>
          <w:sz w:val="20"/>
          <w:szCs w:val="20"/>
          <w:lang w:val="fr-FR"/>
        </w:rPr>
        <w:t xml:space="preserve"> OMS </w:t>
      </w:r>
      <w:proofErr w:type="spellStart"/>
      <w:r w:rsidRPr="005F2901">
        <w:rPr>
          <w:b/>
          <w:bCs/>
          <w:sz w:val="20"/>
          <w:szCs w:val="20"/>
          <w:lang w:val="fr-FR"/>
        </w:rPr>
        <w:t>europeană</w:t>
      </w:r>
      <w:proofErr w:type="spellEnd"/>
      <w:r w:rsidRPr="00D370A8">
        <w:rPr>
          <w:b/>
          <w:sz w:val="16"/>
          <w:szCs w:val="16"/>
          <w:lang w:val="fr-FR"/>
        </w:rPr>
        <w:t xml:space="preserve">. </w:t>
      </w:r>
    </w:p>
    <w:p w14:paraId="7D31DE7D" w14:textId="77777777" w:rsidR="003673E9" w:rsidRPr="00D370A8" w:rsidRDefault="003673E9" w:rsidP="00D001A4">
      <w:pPr>
        <w:spacing w:after="0" w:afterAutospacing="0"/>
        <w:rPr>
          <w:b/>
          <w:sz w:val="16"/>
          <w:szCs w:val="16"/>
          <w:lang w:val="fr-FR"/>
        </w:rPr>
      </w:pPr>
      <w:bookmarkStart w:id="0" w:name="_GoBack"/>
      <w:bookmarkEnd w:id="0"/>
    </w:p>
    <w:tbl>
      <w:tblPr>
        <w:tblStyle w:val="LightShading-Accent11"/>
        <w:tblW w:w="5000" w:type="pct"/>
        <w:tblLook w:val="04A0" w:firstRow="1" w:lastRow="0" w:firstColumn="1" w:lastColumn="0" w:noHBand="0" w:noVBand="1"/>
      </w:tblPr>
      <w:tblGrid>
        <w:gridCol w:w="4499"/>
        <w:gridCol w:w="1577"/>
        <w:gridCol w:w="1343"/>
        <w:gridCol w:w="1504"/>
        <w:gridCol w:w="1282"/>
      </w:tblGrid>
      <w:tr w:rsidR="00D370A8" w:rsidRPr="004D61B1" w14:paraId="309BC85A" w14:textId="77777777" w:rsidTr="00D001A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0E41B4F5" w14:textId="77777777" w:rsidR="00D370A8" w:rsidRPr="002323FC" w:rsidRDefault="00D370A8" w:rsidP="00965EF9">
            <w:pPr>
              <w:jc w:val="left"/>
              <w:rPr>
                <w:rFonts w:eastAsia="Times New Roman"/>
                <w:color w:val="000000"/>
                <w:sz w:val="20"/>
                <w:szCs w:val="20"/>
                <w:lang w:val="fr-FR"/>
              </w:rPr>
            </w:pPr>
          </w:p>
        </w:tc>
        <w:tc>
          <w:tcPr>
            <w:tcW w:w="1430" w:type="pct"/>
            <w:gridSpan w:val="2"/>
            <w:noWrap/>
            <w:hideMark/>
          </w:tcPr>
          <w:p w14:paraId="09C7E1BD" w14:textId="77777777" w:rsidR="00D370A8" w:rsidRPr="004D61B1" w:rsidRDefault="00D370A8" w:rsidP="00965EF9">
            <w:pPr>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fr-FR"/>
              </w:rPr>
            </w:pPr>
            <w:proofErr w:type="spellStart"/>
            <w:r w:rsidRPr="004D61B1">
              <w:rPr>
                <w:rFonts w:eastAsia="Times New Roman"/>
                <w:color w:val="000000"/>
                <w:sz w:val="20"/>
                <w:szCs w:val="20"/>
                <w:lang w:val="fr-FR"/>
              </w:rPr>
              <w:t>Morbiditate</w:t>
            </w:r>
            <w:proofErr w:type="spellEnd"/>
            <w:r w:rsidRPr="004D61B1">
              <w:rPr>
                <w:rFonts w:eastAsia="Times New Roman"/>
                <w:color w:val="000000"/>
                <w:sz w:val="20"/>
                <w:szCs w:val="20"/>
                <w:lang w:val="fr-FR"/>
              </w:rPr>
              <w:t xml:space="preserve"> (%)</w:t>
            </w:r>
          </w:p>
        </w:tc>
        <w:tc>
          <w:tcPr>
            <w:tcW w:w="1365" w:type="pct"/>
            <w:gridSpan w:val="2"/>
            <w:noWrap/>
            <w:hideMark/>
          </w:tcPr>
          <w:p w14:paraId="542BD51E" w14:textId="77777777" w:rsidR="00D370A8" w:rsidRPr="004D61B1" w:rsidRDefault="00D370A8" w:rsidP="00965EF9">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0"/>
                <w:szCs w:val="20"/>
                <w:lang w:val="fr-FR"/>
              </w:rPr>
            </w:pPr>
            <w:proofErr w:type="spellStart"/>
            <w:r w:rsidRPr="004D61B1">
              <w:rPr>
                <w:rFonts w:eastAsia="Times New Roman"/>
                <w:color w:val="000000"/>
                <w:sz w:val="20"/>
                <w:szCs w:val="20"/>
                <w:lang w:val="fr-FR"/>
              </w:rPr>
              <w:t>Mortalitate</w:t>
            </w:r>
            <w:proofErr w:type="spellEnd"/>
            <w:r w:rsidRPr="004D61B1">
              <w:rPr>
                <w:rFonts w:eastAsia="Times New Roman"/>
                <w:color w:val="000000"/>
                <w:sz w:val="20"/>
                <w:szCs w:val="20"/>
                <w:lang w:val="fr-FR"/>
              </w:rPr>
              <w:t>* (rate)</w:t>
            </w:r>
          </w:p>
        </w:tc>
      </w:tr>
      <w:tr w:rsidR="00D370A8" w:rsidRPr="004D61B1" w14:paraId="4DF119D2"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6361E01D" w14:textId="77777777" w:rsidR="00D370A8" w:rsidRPr="004D61B1" w:rsidRDefault="00D370A8" w:rsidP="00965EF9">
            <w:pPr>
              <w:jc w:val="left"/>
              <w:rPr>
                <w:rFonts w:eastAsia="Times New Roman"/>
                <w:color w:val="000000"/>
                <w:sz w:val="20"/>
                <w:szCs w:val="20"/>
                <w:lang w:val="fr-FR"/>
              </w:rPr>
            </w:pPr>
          </w:p>
        </w:tc>
        <w:tc>
          <w:tcPr>
            <w:tcW w:w="772" w:type="pct"/>
            <w:noWrap/>
            <w:hideMark/>
          </w:tcPr>
          <w:p w14:paraId="3CDF93F3" w14:textId="77777777" w:rsidR="00D370A8" w:rsidRPr="004D61B1" w:rsidRDefault="00D370A8" w:rsidP="00965EF9">
            <w:pPr>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fr-FR"/>
              </w:rPr>
            </w:pPr>
            <w:proofErr w:type="spellStart"/>
            <w:r w:rsidRPr="004D61B1">
              <w:rPr>
                <w:rFonts w:eastAsia="Times New Roman"/>
                <w:color w:val="000000"/>
                <w:sz w:val="20"/>
                <w:szCs w:val="20"/>
                <w:lang w:val="fr-FR"/>
              </w:rPr>
              <w:t>Barbaţi</w:t>
            </w:r>
            <w:proofErr w:type="spellEnd"/>
            <w:r w:rsidRPr="004D61B1">
              <w:rPr>
                <w:rFonts w:eastAsia="Times New Roman"/>
                <w:color w:val="000000"/>
                <w:sz w:val="20"/>
                <w:szCs w:val="20"/>
                <w:lang w:val="fr-FR"/>
              </w:rPr>
              <w:t xml:space="preserve"> </w:t>
            </w:r>
          </w:p>
        </w:tc>
        <w:tc>
          <w:tcPr>
            <w:tcW w:w="658" w:type="pct"/>
            <w:noWrap/>
            <w:hideMark/>
          </w:tcPr>
          <w:p w14:paraId="683B9BD4" w14:textId="77777777" w:rsidR="00D370A8" w:rsidRPr="004D61B1" w:rsidRDefault="00D370A8" w:rsidP="00965EF9">
            <w:pPr>
              <w:jc w:val="lef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fr-FR"/>
              </w:rPr>
            </w:pPr>
            <w:proofErr w:type="spellStart"/>
            <w:r w:rsidRPr="004D61B1">
              <w:rPr>
                <w:rFonts w:eastAsia="Times New Roman"/>
                <w:color w:val="000000"/>
                <w:sz w:val="20"/>
                <w:szCs w:val="20"/>
                <w:lang w:val="fr-FR"/>
              </w:rPr>
              <w:t>Femei</w:t>
            </w:r>
            <w:proofErr w:type="spellEnd"/>
            <w:r w:rsidRPr="004D61B1">
              <w:rPr>
                <w:rFonts w:eastAsia="Times New Roman"/>
                <w:color w:val="000000"/>
                <w:sz w:val="20"/>
                <w:szCs w:val="20"/>
                <w:lang w:val="fr-FR"/>
              </w:rPr>
              <w:t xml:space="preserve"> </w:t>
            </w:r>
          </w:p>
        </w:tc>
        <w:tc>
          <w:tcPr>
            <w:tcW w:w="737" w:type="pct"/>
            <w:noWrap/>
            <w:hideMark/>
          </w:tcPr>
          <w:p w14:paraId="51D609F4" w14:textId="77777777" w:rsidR="00D370A8" w:rsidRPr="004D61B1"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fr-FR"/>
              </w:rPr>
            </w:pPr>
            <w:proofErr w:type="spellStart"/>
            <w:r w:rsidRPr="004D61B1">
              <w:rPr>
                <w:rFonts w:eastAsia="Times New Roman"/>
                <w:color w:val="000000"/>
                <w:sz w:val="20"/>
                <w:szCs w:val="20"/>
                <w:lang w:val="fr-FR"/>
              </w:rPr>
              <w:t>Barbaţi</w:t>
            </w:r>
            <w:proofErr w:type="spellEnd"/>
            <w:r w:rsidRPr="004D61B1">
              <w:rPr>
                <w:rFonts w:eastAsia="Times New Roman"/>
                <w:color w:val="000000"/>
                <w:sz w:val="20"/>
                <w:szCs w:val="20"/>
                <w:lang w:val="fr-FR"/>
              </w:rPr>
              <w:t xml:space="preserve"> </w:t>
            </w:r>
          </w:p>
        </w:tc>
        <w:tc>
          <w:tcPr>
            <w:tcW w:w="628" w:type="pct"/>
            <w:noWrap/>
            <w:hideMark/>
          </w:tcPr>
          <w:p w14:paraId="1B48ABBC" w14:textId="77777777" w:rsidR="00D370A8" w:rsidRPr="004D61B1"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fr-FR"/>
              </w:rPr>
            </w:pPr>
            <w:proofErr w:type="spellStart"/>
            <w:r w:rsidRPr="004D61B1">
              <w:rPr>
                <w:rFonts w:eastAsia="Times New Roman"/>
                <w:color w:val="000000"/>
                <w:sz w:val="20"/>
                <w:szCs w:val="20"/>
                <w:lang w:val="fr-FR"/>
              </w:rPr>
              <w:t>Femei</w:t>
            </w:r>
            <w:proofErr w:type="spellEnd"/>
          </w:p>
        </w:tc>
      </w:tr>
      <w:tr w:rsidR="00D370A8" w:rsidRPr="001B5A35" w14:paraId="4C7DC157" w14:textId="77777777" w:rsidTr="00D001A4">
        <w:trPr>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357874EA" w14:textId="77777777" w:rsidR="00D370A8" w:rsidRPr="002323FC" w:rsidRDefault="00D370A8" w:rsidP="00965EF9">
            <w:pPr>
              <w:jc w:val="left"/>
              <w:rPr>
                <w:rFonts w:eastAsia="Times New Roman"/>
                <w:b w:val="0"/>
                <w:color w:val="000000"/>
                <w:sz w:val="20"/>
                <w:szCs w:val="20"/>
              </w:rPr>
            </w:pPr>
            <w:proofErr w:type="spellStart"/>
            <w:r w:rsidRPr="004D61B1">
              <w:rPr>
                <w:rFonts w:eastAsia="Times New Roman"/>
                <w:b w:val="0"/>
                <w:color w:val="000000"/>
                <w:sz w:val="20"/>
                <w:szCs w:val="20"/>
                <w:lang w:val="fr-FR"/>
              </w:rPr>
              <w:t>Boli</w:t>
            </w:r>
            <w:proofErr w:type="spellEnd"/>
            <w:r w:rsidRPr="004D61B1">
              <w:rPr>
                <w:rFonts w:eastAsia="Times New Roman"/>
                <w:b w:val="0"/>
                <w:color w:val="000000"/>
                <w:sz w:val="20"/>
                <w:szCs w:val="20"/>
                <w:lang w:val="fr-FR"/>
              </w:rPr>
              <w:t xml:space="preserve"> </w:t>
            </w:r>
            <w:proofErr w:type="spellStart"/>
            <w:r w:rsidRPr="004D61B1">
              <w:rPr>
                <w:rFonts w:eastAsia="Times New Roman"/>
                <w:b w:val="0"/>
                <w:color w:val="000000"/>
                <w:sz w:val="20"/>
                <w:szCs w:val="20"/>
                <w:lang w:val="fr-FR"/>
              </w:rPr>
              <w:t>cronice</w:t>
            </w:r>
            <w:proofErr w:type="spellEnd"/>
            <w:r w:rsidRPr="004D61B1">
              <w:rPr>
                <w:rFonts w:eastAsia="Times New Roman"/>
                <w:b w:val="0"/>
                <w:color w:val="000000"/>
                <w:sz w:val="20"/>
                <w:szCs w:val="20"/>
                <w:lang w:val="fr-FR"/>
              </w:rPr>
              <w:t xml:space="preserve"> </w:t>
            </w:r>
            <w:proofErr w:type="spellStart"/>
            <w:r w:rsidRPr="004D61B1">
              <w:rPr>
                <w:rFonts w:eastAsia="Times New Roman"/>
                <w:b w:val="0"/>
                <w:color w:val="000000"/>
                <w:sz w:val="20"/>
                <w:szCs w:val="20"/>
                <w:lang w:val="fr-FR"/>
              </w:rPr>
              <w:t>netran</w:t>
            </w:r>
            <w:proofErr w:type="spellEnd"/>
            <w:r w:rsidRPr="002323FC">
              <w:rPr>
                <w:rFonts w:eastAsia="Times New Roman"/>
                <w:b w:val="0"/>
                <w:color w:val="000000"/>
                <w:sz w:val="20"/>
                <w:szCs w:val="20"/>
              </w:rPr>
              <w:t>smisibile (NCD)</w:t>
            </w:r>
          </w:p>
        </w:tc>
        <w:tc>
          <w:tcPr>
            <w:tcW w:w="772" w:type="pct"/>
            <w:noWrap/>
            <w:hideMark/>
          </w:tcPr>
          <w:p w14:paraId="692A16DD"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28</w:t>
            </w:r>
          </w:p>
        </w:tc>
        <w:tc>
          <w:tcPr>
            <w:tcW w:w="658" w:type="pct"/>
            <w:noWrap/>
            <w:hideMark/>
          </w:tcPr>
          <w:p w14:paraId="0EBBFEAB"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7</w:t>
            </w:r>
          </w:p>
        </w:tc>
        <w:tc>
          <w:tcPr>
            <w:tcW w:w="737" w:type="pct"/>
            <w:noWrap/>
            <w:hideMark/>
          </w:tcPr>
          <w:p w14:paraId="5D25AC8D"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c>
          <w:tcPr>
            <w:tcW w:w="628" w:type="pct"/>
            <w:noWrap/>
            <w:hideMark/>
          </w:tcPr>
          <w:p w14:paraId="0959938A"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D370A8" w:rsidRPr="001B5A35" w14:paraId="3D49A780"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0F6F06E4"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Boli cardiovasculare</w:t>
            </w:r>
          </w:p>
        </w:tc>
        <w:tc>
          <w:tcPr>
            <w:tcW w:w="772" w:type="pct"/>
            <w:noWrap/>
            <w:hideMark/>
          </w:tcPr>
          <w:p w14:paraId="31681BF7"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25</w:t>
            </w:r>
          </w:p>
        </w:tc>
        <w:tc>
          <w:tcPr>
            <w:tcW w:w="658" w:type="pct"/>
            <w:noWrap/>
            <w:hideMark/>
          </w:tcPr>
          <w:p w14:paraId="0205A2FC"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6</w:t>
            </w:r>
          </w:p>
        </w:tc>
        <w:tc>
          <w:tcPr>
            <w:tcW w:w="737" w:type="pct"/>
            <w:noWrap/>
            <w:hideMark/>
          </w:tcPr>
          <w:p w14:paraId="2D4A3F44"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396,4</w:t>
            </w:r>
          </w:p>
        </w:tc>
        <w:tc>
          <w:tcPr>
            <w:tcW w:w="628" w:type="pct"/>
            <w:noWrap/>
            <w:hideMark/>
          </w:tcPr>
          <w:p w14:paraId="1469E382"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253,8</w:t>
            </w:r>
          </w:p>
        </w:tc>
      </w:tr>
      <w:tr w:rsidR="00D370A8" w:rsidRPr="001B5A35" w14:paraId="0F1C7A89" w14:textId="77777777" w:rsidTr="00D001A4">
        <w:trPr>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4DABB8F5"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Accident vascular cerebral</w:t>
            </w:r>
          </w:p>
        </w:tc>
        <w:tc>
          <w:tcPr>
            <w:tcW w:w="772" w:type="pct"/>
            <w:noWrap/>
            <w:hideMark/>
          </w:tcPr>
          <w:p w14:paraId="4FE37894"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21</w:t>
            </w:r>
          </w:p>
        </w:tc>
        <w:tc>
          <w:tcPr>
            <w:tcW w:w="658" w:type="pct"/>
            <w:noWrap/>
            <w:hideMark/>
          </w:tcPr>
          <w:p w14:paraId="64959CFB"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5</w:t>
            </w:r>
          </w:p>
        </w:tc>
        <w:tc>
          <w:tcPr>
            <w:tcW w:w="737" w:type="pct"/>
            <w:noWrap/>
            <w:hideMark/>
          </w:tcPr>
          <w:p w14:paraId="5AB43381"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89,4</w:t>
            </w:r>
          </w:p>
        </w:tc>
        <w:tc>
          <w:tcPr>
            <w:tcW w:w="628" w:type="pct"/>
            <w:noWrap/>
            <w:hideMark/>
          </w:tcPr>
          <w:p w14:paraId="4E28D266"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67,8</w:t>
            </w:r>
          </w:p>
        </w:tc>
      </w:tr>
      <w:tr w:rsidR="00D370A8" w:rsidRPr="001B5A35" w14:paraId="4DCD56B8"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52958753"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Infarct miocardic acut</w:t>
            </w:r>
          </w:p>
        </w:tc>
        <w:tc>
          <w:tcPr>
            <w:tcW w:w="772" w:type="pct"/>
            <w:noWrap/>
            <w:hideMark/>
          </w:tcPr>
          <w:p w14:paraId="4D7565C6"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26</w:t>
            </w:r>
          </w:p>
        </w:tc>
        <w:tc>
          <w:tcPr>
            <w:tcW w:w="658" w:type="pct"/>
            <w:noWrap/>
            <w:hideMark/>
          </w:tcPr>
          <w:p w14:paraId="2BCE48FA"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6</w:t>
            </w:r>
          </w:p>
        </w:tc>
        <w:tc>
          <w:tcPr>
            <w:tcW w:w="737" w:type="pct"/>
            <w:noWrap/>
            <w:hideMark/>
          </w:tcPr>
          <w:p w14:paraId="23D275D0"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193,5</w:t>
            </w:r>
          </w:p>
        </w:tc>
        <w:tc>
          <w:tcPr>
            <w:tcW w:w="628" w:type="pct"/>
            <w:noWrap/>
            <w:hideMark/>
          </w:tcPr>
          <w:p w14:paraId="5BFE81FB"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107</w:t>
            </w:r>
          </w:p>
        </w:tc>
      </w:tr>
      <w:tr w:rsidR="00D370A8" w:rsidRPr="001B5A35" w14:paraId="572E2264" w14:textId="77777777" w:rsidTr="00D001A4">
        <w:trPr>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5984B732"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Alte boli cardiovasculare</w:t>
            </w:r>
          </w:p>
        </w:tc>
        <w:tc>
          <w:tcPr>
            <w:tcW w:w="772" w:type="pct"/>
            <w:noWrap/>
            <w:hideMark/>
          </w:tcPr>
          <w:p w14:paraId="5374D7A6"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27</w:t>
            </w:r>
          </w:p>
        </w:tc>
        <w:tc>
          <w:tcPr>
            <w:tcW w:w="658" w:type="pct"/>
            <w:noWrap/>
            <w:hideMark/>
          </w:tcPr>
          <w:p w14:paraId="4481D704"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9</w:t>
            </w:r>
          </w:p>
        </w:tc>
        <w:tc>
          <w:tcPr>
            <w:tcW w:w="737" w:type="pct"/>
            <w:noWrap/>
            <w:hideMark/>
          </w:tcPr>
          <w:p w14:paraId="44229AE1"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c>
          <w:tcPr>
            <w:tcW w:w="628" w:type="pct"/>
            <w:noWrap/>
            <w:hideMark/>
          </w:tcPr>
          <w:p w14:paraId="7E9C8F30"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p>
        </w:tc>
      </w:tr>
      <w:tr w:rsidR="00D370A8" w:rsidRPr="001B5A35" w14:paraId="308C046D"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1FEA3D35"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Boli maligne</w:t>
            </w:r>
          </w:p>
        </w:tc>
        <w:tc>
          <w:tcPr>
            <w:tcW w:w="772" w:type="pct"/>
            <w:noWrap/>
            <w:hideMark/>
          </w:tcPr>
          <w:p w14:paraId="783ADCCA"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41</w:t>
            </w:r>
          </w:p>
        </w:tc>
        <w:tc>
          <w:tcPr>
            <w:tcW w:w="658" w:type="pct"/>
            <w:noWrap/>
            <w:hideMark/>
          </w:tcPr>
          <w:p w14:paraId="0535169D"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10</w:t>
            </w:r>
          </w:p>
        </w:tc>
        <w:tc>
          <w:tcPr>
            <w:tcW w:w="737" w:type="pct"/>
            <w:noWrap/>
            <w:hideMark/>
          </w:tcPr>
          <w:p w14:paraId="60B147CB"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201,8</w:t>
            </w:r>
          </w:p>
        </w:tc>
        <w:tc>
          <w:tcPr>
            <w:tcW w:w="628" w:type="pct"/>
            <w:noWrap/>
            <w:hideMark/>
          </w:tcPr>
          <w:p w14:paraId="0C1C30E2"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11,58</w:t>
            </w:r>
          </w:p>
        </w:tc>
      </w:tr>
      <w:tr w:rsidR="00D370A8" w:rsidRPr="001B5A35" w14:paraId="31BFF592" w14:textId="77777777" w:rsidTr="00D001A4">
        <w:trPr>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06929787"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Cancer bronhopulmonar</w:t>
            </w:r>
          </w:p>
        </w:tc>
        <w:tc>
          <w:tcPr>
            <w:tcW w:w="772" w:type="pct"/>
            <w:noWrap/>
            <w:hideMark/>
          </w:tcPr>
          <w:p w14:paraId="40CBC5EC"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92</w:t>
            </w:r>
          </w:p>
        </w:tc>
        <w:tc>
          <w:tcPr>
            <w:tcW w:w="658" w:type="pct"/>
            <w:noWrap/>
            <w:hideMark/>
          </w:tcPr>
          <w:p w14:paraId="6474CB32"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62</w:t>
            </w:r>
          </w:p>
        </w:tc>
        <w:tc>
          <w:tcPr>
            <w:tcW w:w="737" w:type="pct"/>
            <w:noWrap/>
            <w:hideMark/>
          </w:tcPr>
          <w:p w14:paraId="6FA41C8C"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53,3</w:t>
            </w:r>
          </w:p>
        </w:tc>
        <w:tc>
          <w:tcPr>
            <w:tcW w:w="628" w:type="pct"/>
            <w:noWrap/>
            <w:hideMark/>
          </w:tcPr>
          <w:p w14:paraId="05E80978"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15,5</w:t>
            </w:r>
          </w:p>
        </w:tc>
      </w:tr>
      <w:tr w:rsidR="00D370A8" w:rsidRPr="001B5A35" w14:paraId="40D98118"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2C3CA5A0"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Boli respiratorii</w:t>
            </w:r>
          </w:p>
        </w:tc>
        <w:tc>
          <w:tcPr>
            <w:tcW w:w="772" w:type="pct"/>
            <w:noWrap/>
            <w:hideMark/>
          </w:tcPr>
          <w:p w14:paraId="2DAABED2"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63</w:t>
            </w:r>
          </w:p>
        </w:tc>
        <w:tc>
          <w:tcPr>
            <w:tcW w:w="658" w:type="pct"/>
            <w:noWrap/>
            <w:hideMark/>
          </w:tcPr>
          <w:p w14:paraId="0A675403"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37</w:t>
            </w:r>
          </w:p>
        </w:tc>
        <w:tc>
          <w:tcPr>
            <w:tcW w:w="737" w:type="pct"/>
            <w:noWrap/>
            <w:hideMark/>
          </w:tcPr>
          <w:p w14:paraId="390EA2C6"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67,5</w:t>
            </w:r>
          </w:p>
        </w:tc>
        <w:tc>
          <w:tcPr>
            <w:tcW w:w="628" w:type="pct"/>
            <w:noWrap/>
            <w:hideMark/>
          </w:tcPr>
          <w:p w14:paraId="01875BCD"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32,7</w:t>
            </w:r>
          </w:p>
        </w:tc>
      </w:tr>
      <w:tr w:rsidR="00D370A8" w:rsidRPr="001B5A35" w14:paraId="1BFABE1A" w14:textId="77777777" w:rsidTr="00D001A4">
        <w:trPr>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733A4358"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BPOC</w:t>
            </w:r>
          </w:p>
        </w:tc>
        <w:tc>
          <w:tcPr>
            <w:tcW w:w="772" w:type="pct"/>
            <w:noWrap/>
            <w:hideMark/>
          </w:tcPr>
          <w:p w14:paraId="1D36732B"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79</w:t>
            </w:r>
          </w:p>
        </w:tc>
        <w:tc>
          <w:tcPr>
            <w:tcW w:w="658" w:type="pct"/>
            <w:noWrap/>
            <w:hideMark/>
          </w:tcPr>
          <w:p w14:paraId="4CECF730"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54</w:t>
            </w:r>
          </w:p>
        </w:tc>
        <w:tc>
          <w:tcPr>
            <w:tcW w:w="737" w:type="pct"/>
            <w:noWrap/>
            <w:hideMark/>
          </w:tcPr>
          <w:p w14:paraId="39D3B99D"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39,8</w:t>
            </w:r>
          </w:p>
        </w:tc>
        <w:tc>
          <w:tcPr>
            <w:tcW w:w="628" w:type="pct"/>
            <w:noWrap/>
            <w:hideMark/>
          </w:tcPr>
          <w:p w14:paraId="0A849953"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16,9</w:t>
            </w:r>
          </w:p>
        </w:tc>
      </w:tr>
      <w:tr w:rsidR="00D370A8" w:rsidRPr="001B5A35" w14:paraId="74800B63"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7D5BA0B7"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Boli transmisibile</w:t>
            </w:r>
          </w:p>
        </w:tc>
        <w:tc>
          <w:tcPr>
            <w:tcW w:w="772" w:type="pct"/>
            <w:noWrap/>
            <w:hideMark/>
          </w:tcPr>
          <w:p w14:paraId="3F31924E"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23</w:t>
            </w:r>
          </w:p>
        </w:tc>
        <w:tc>
          <w:tcPr>
            <w:tcW w:w="658" w:type="pct"/>
            <w:noWrap/>
            <w:hideMark/>
          </w:tcPr>
          <w:p w14:paraId="6BC67DB2"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12</w:t>
            </w:r>
          </w:p>
        </w:tc>
        <w:tc>
          <w:tcPr>
            <w:tcW w:w="737" w:type="pct"/>
            <w:noWrap/>
            <w:hideMark/>
          </w:tcPr>
          <w:p w14:paraId="38D0FAD1"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16,6</w:t>
            </w:r>
          </w:p>
        </w:tc>
        <w:tc>
          <w:tcPr>
            <w:tcW w:w="628" w:type="pct"/>
            <w:noWrap/>
            <w:hideMark/>
          </w:tcPr>
          <w:p w14:paraId="44330628" w14:textId="77777777" w:rsidR="00D370A8" w:rsidRPr="001B5A35"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8,5</w:t>
            </w:r>
          </w:p>
        </w:tc>
      </w:tr>
      <w:tr w:rsidR="00D370A8" w:rsidRPr="001B5A35" w14:paraId="55374971" w14:textId="77777777" w:rsidTr="00D001A4">
        <w:trPr>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6F41D384" w14:textId="77777777" w:rsidR="00D370A8" w:rsidRPr="002323FC" w:rsidRDefault="00D370A8" w:rsidP="00965EF9">
            <w:pPr>
              <w:jc w:val="left"/>
              <w:rPr>
                <w:rFonts w:eastAsia="Times New Roman"/>
                <w:b w:val="0"/>
                <w:color w:val="000000"/>
                <w:sz w:val="20"/>
                <w:szCs w:val="20"/>
              </w:rPr>
            </w:pPr>
            <w:r w:rsidRPr="002323FC">
              <w:rPr>
                <w:rFonts w:eastAsia="Times New Roman"/>
                <w:b w:val="0"/>
                <w:color w:val="000000"/>
                <w:sz w:val="20"/>
                <w:szCs w:val="20"/>
              </w:rPr>
              <w:t>Tuberculoza</w:t>
            </w:r>
          </w:p>
        </w:tc>
        <w:tc>
          <w:tcPr>
            <w:tcW w:w="772" w:type="pct"/>
            <w:noWrap/>
            <w:hideMark/>
          </w:tcPr>
          <w:p w14:paraId="4B5C6736"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30</w:t>
            </w:r>
          </w:p>
        </w:tc>
        <w:tc>
          <w:tcPr>
            <w:tcW w:w="658" w:type="pct"/>
            <w:noWrap/>
            <w:hideMark/>
          </w:tcPr>
          <w:p w14:paraId="32F070FD"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5</w:t>
            </w:r>
          </w:p>
        </w:tc>
        <w:tc>
          <w:tcPr>
            <w:tcW w:w="737" w:type="pct"/>
            <w:noWrap/>
            <w:hideMark/>
          </w:tcPr>
          <w:p w14:paraId="4D2B62BD"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5,4</w:t>
            </w:r>
          </w:p>
        </w:tc>
        <w:tc>
          <w:tcPr>
            <w:tcW w:w="628" w:type="pct"/>
            <w:noWrap/>
            <w:hideMark/>
          </w:tcPr>
          <w:p w14:paraId="1477DBC8" w14:textId="77777777" w:rsidR="00D370A8" w:rsidRPr="001B5A35" w:rsidRDefault="00D370A8" w:rsidP="00965EF9">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1B5A35">
              <w:rPr>
                <w:rFonts w:eastAsia="Times New Roman"/>
                <w:color w:val="000000"/>
                <w:sz w:val="20"/>
                <w:szCs w:val="20"/>
              </w:rPr>
              <w:t>1,4</w:t>
            </w:r>
          </w:p>
        </w:tc>
      </w:tr>
      <w:tr w:rsidR="00D370A8" w:rsidRPr="002323FC" w14:paraId="036E8BD1" w14:textId="77777777" w:rsidTr="00D001A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04" w:type="pct"/>
            <w:noWrap/>
            <w:hideMark/>
          </w:tcPr>
          <w:p w14:paraId="45096052" w14:textId="77777777" w:rsidR="00D370A8" w:rsidRPr="002323FC" w:rsidRDefault="00D370A8" w:rsidP="00965EF9">
            <w:pPr>
              <w:jc w:val="left"/>
              <w:rPr>
                <w:rFonts w:eastAsia="Times New Roman"/>
                <w:color w:val="000000"/>
                <w:sz w:val="20"/>
                <w:szCs w:val="20"/>
              </w:rPr>
            </w:pPr>
            <w:r w:rsidRPr="002323FC">
              <w:rPr>
                <w:rFonts w:eastAsia="Times New Roman"/>
                <w:color w:val="000000"/>
                <w:sz w:val="20"/>
                <w:szCs w:val="20"/>
              </w:rPr>
              <w:t>TOTAL</w:t>
            </w:r>
          </w:p>
        </w:tc>
        <w:tc>
          <w:tcPr>
            <w:tcW w:w="772" w:type="pct"/>
            <w:noWrap/>
            <w:hideMark/>
          </w:tcPr>
          <w:p w14:paraId="13C115B0" w14:textId="77777777" w:rsidR="00D370A8" w:rsidRPr="002323FC"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rPr>
            </w:pPr>
            <w:r w:rsidRPr="002323FC">
              <w:rPr>
                <w:rFonts w:eastAsia="Times New Roman"/>
                <w:b/>
                <w:color w:val="000000"/>
                <w:sz w:val="20"/>
                <w:szCs w:val="20"/>
              </w:rPr>
              <w:t>25</w:t>
            </w:r>
          </w:p>
        </w:tc>
        <w:tc>
          <w:tcPr>
            <w:tcW w:w="658" w:type="pct"/>
            <w:noWrap/>
            <w:hideMark/>
          </w:tcPr>
          <w:p w14:paraId="7169C9FD" w14:textId="77777777" w:rsidR="00D370A8" w:rsidRPr="002323FC"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rPr>
            </w:pPr>
            <w:r w:rsidRPr="002323FC">
              <w:rPr>
                <w:rFonts w:eastAsia="Times New Roman"/>
                <w:b/>
                <w:color w:val="000000"/>
                <w:sz w:val="20"/>
                <w:szCs w:val="20"/>
              </w:rPr>
              <w:t>7</w:t>
            </w:r>
          </w:p>
        </w:tc>
        <w:tc>
          <w:tcPr>
            <w:tcW w:w="737" w:type="pct"/>
            <w:noWrap/>
            <w:hideMark/>
          </w:tcPr>
          <w:p w14:paraId="0276F2F0" w14:textId="77777777" w:rsidR="00D370A8" w:rsidRPr="002323FC"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rPr>
            </w:pPr>
            <w:r>
              <w:rPr>
                <w:rFonts w:eastAsia="Times New Roman"/>
                <w:b/>
                <w:color w:val="000000"/>
                <w:sz w:val="20"/>
                <w:szCs w:val="20"/>
              </w:rPr>
              <w:t>932,5</w:t>
            </w:r>
          </w:p>
        </w:tc>
        <w:tc>
          <w:tcPr>
            <w:tcW w:w="628" w:type="pct"/>
            <w:noWrap/>
            <w:hideMark/>
          </w:tcPr>
          <w:p w14:paraId="285296C3" w14:textId="77777777" w:rsidR="00D370A8" w:rsidRPr="002323FC" w:rsidRDefault="00D370A8" w:rsidP="00965EF9">
            <w:pPr>
              <w:jc w:val="right"/>
              <w:cnfStyle w:val="000000100000" w:firstRow="0" w:lastRow="0" w:firstColumn="0" w:lastColumn="0" w:oddVBand="0" w:evenVBand="0" w:oddHBand="1" w:evenHBand="0" w:firstRowFirstColumn="0" w:firstRowLastColumn="0" w:lastRowFirstColumn="0" w:lastRowLastColumn="0"/>
              <w:rPr>
                <w:rFonts w:eastAsia="Times New Roman"/>
                <w:b/>
                <w:color w:val="000000"/>
                <w:sz w:val="20"/>
                <w:szCs w:val="20"/>
              </w:rPr>
            </w:pPr>
            <w:r>
              <w:rPr>
                <w:rFonts w:eastAsia="Times New Roman"/>
                <w:b/>
                <w:color w:val="000000"/>
                <w:sz w:val="20"/>
                <w:szCs w:val="20"/>
              </w:rPr>
              <w:t>553,6</w:t>
            </w:r>
          </w:p>
        </w:tc>
      </w:tr>
    </w:tbl>
    <w:p w14:paraId="42F6744B" w14:textId="77777777" w:rsidR="00D001A4" w:rsidRPr="002323FC" w:rsidRDefault="00D001A4" w:rsidP="00D001A4">
      <w:pPr>
        <w:spacing w:before="0" w:beforeAutospacing="0" w:after="0" w:afterAutospacing="0"/>
        <w:rPr>
          <w:i/>
          <w:sz w:val="16"/>
          <w:szCs w:val="16"/>
        </w:rPr>
      </w:pPr>
      <w:r w:rsidRPr="002323FC">
        <w:rPr>
          <w:sz w:val="16"/>
          <w:szCs w:val="16"/>
        </w:rPr>
        <w:t>*</w:t>
      </w:r>
      <w:r>
        <w:rPr>
          <w:sz w:val="16"/>
          <w:szCs w:val="16"/>
        </w:rPr>
        <w:t xml:space="preserve"> Mortalitate standardizată cu vârsta rate la 100000. </w:t>
      </w:r>
      <w:r>
        <w:rPr>
          <w:i/>
          <w:sz w:val="16"/>
          <w:szCs w:val="16"/>
        </w:rPr>
        <w:t>Sursa:WHO (8,9)</w:t>
      </w:r>
    </w:p>
    <w:p w14:paraId="03D830E6" w14:textId="77777777" w:rsidR="002A025C" w:rsidRDefault="002A025C" w:rsidP="00F9404D">
      <w:pPr>
        <w:spacing w:before="0" w:beforeAutospacing="0" w:after="120" w:afterAutospacing="0"/>
      </w:pPr>
    </w:p>
    <w:p w14:paraId="17D89E41" w14:textId="78B18EEE" w:rsidR="00D370A8" w:rsidRDefault="002A025C" w:rsidP="00F9404D">
      <w:pPr>
        <w:spacing w:before="0" w:beforeAutospacing="0" w:after="120" w:afterAutospacing="0"/>
        <w:rPr>
          <w:i/>
          <w:lang w:val="en-US"/>
        </w:rPr>
      </w:pPr>
      <w:proofErr w:type="gramStart"/>
      <w:r>
        <w:rPr>
          <w:i/>
          <w:lang w:val="en-US"/>
        </w:rPr>
        <w:t>c</w:t>
      </w:r>
      <w:proofErr w:type="gramEnd"/>
      <w:r>
        <w:rPr>
          <w:i/>
          <w:lang w:val="en-US"/>
        </w:rPr>
        <w:t xml:space="preserve">. </w:t>
      </w:r>
      <w:proofErr w:type="spellStart"/>
      <w:r>
        <w:rPr>
          <w:i/>
          <w:lang w:val="en-US"/>
        </w:rPr>
        <w:t>În</w:t>
      </w:r>
      <w:proofErr w:type="spellEnd"/>
      <w:r>
        <w:rPr>
          <w:i/>
          <w:lang w:val="en-US"/>
        </w:rPr>
        <w:t xml:space="preserve"> </w:t>
      </w:r>
      <w:proofErr w:type="spellStart"/>
      <w:r>
        <w:rPr>
          <w:i/>
          <w:lang w:val="en-US"/>
        </w:rPr>
        <w:t>România</w:t>
      </w:r>
      <w:proofErr w:type="spellEnd"/>
    </w:p>
    <w:p w14:paraId="4EC52DEE" w14:textId="57FA5A87" w:rsidR="00B03734" w:rsidRPr="0086028D" w:rsidRDefault="00CA1EEE" w:rsidP="00F9404D">
      <w:pPr>
        <w:spacing w:before="0" w:beforeAutospacing="0" w:after="120" w:afterAutospacing="0"/>
        <w:rPr>
          <w:b/>
          <w:bCs/>
          <w:iCs/>
          <w:lang w:val="fr-FR"/>
        </w:rPr>
      </w:pPr>
      <w:r w:rsidRPr="0086028D">
        <w:rPr>
          <w:b/>
          <w:bCs/>
          <w:iCs/>
          <w:lang w:val="fr-FR"/>
        </w:rPr>
        <w:t>CONSUMUL DE TUTUN LA ADULȚI</w:t>
      </w:r>
    </w:p>
    <w:p w14:paraId="6C3BEE04" w14:textId="3B9ED82F" w:rsidR="002A025C" w:rsidRDefault="004159D1" w:rsidP="00F9404D">
      <w:pPr>
        <w:spacing w:before="0" w:beforeAutospacing="0" w:after="120" w:afterAutospacing="0"/>
      </w:pPr>
      <w:r w:rsidRPr="007C12C0">
        <w:rPr>
          <w:b/>
          <w:bCs/>
        </w:rPr>
        <w:t>Eurobarometrul 2017</w:t>
      </w:r>
      <w:r>
        <w:t xml:space="preserve"> </w:t>
      </w:r>
      <w:r w:rsidRPr="004159D1">
        <w:t>situeaza România pe locul 9 în Uniunea Europeană, alături de Cipru, Austria, Slovenia si Spania</w:t>
      </w:r>
      <w:r>
        <w:t xml:space="preserve"> în ceea ce privește consumul de tutun</w:t>
      </w:r>
      <w:r w:rsidRPr="004159D1">
        <w:t>. Desi fumează mai putin decât grecii (37%), bulgarii și francezii (36%), românii consumă considerabil mai mult tutun decât suedezii (7%) si englezii (17%). Raportul european arată ca procentul tinerilor care se apucă de fumat, respectiv cei din categoria de vârsta 15 - 24 de ani, a crescut de la 25%, cât era în 2014, la 29% în 2017 (</w:t>
      </w:r>
      <w:r w:rsidR="007C12C0">
        <w:t>10</w:t>
      </w:r>
      <w:r w:rsidRPr="004159D1">
        <w:t>).</w:t>
      </w:r>
    </w:p>
    <w:p w14:paraId="1E0CD630" w14:textId="77777777" w:rsidR="00404EF8" w:rsidRDefault="007C12C0" w:rsidP="00404EF8">
      <w:pPr>
        <w:spacing w:before="0" w:beforeAutospacing="0" w:after="120" w:afterAutospacing="0"/>
      </w:pPr>
      <w:r w:rsidRPr="007C12C0">
        <w:rPr>
          <w:b/>
          <w:bCs/>
        </w:rPr>
        <w:t>Conform Studiului Global privind Tutunul la Adulți</w:t>
      </w:r>
      <w:r>
        <w:t xml:space="preserve"> (GATS) 2018, în România, în 2018, 30,7% (5,63 de milioane) dintre adulții cu vârsta de minimum 15 ani (40,4% bărbați și 21,7% femei) au consumat curent (zilnic sau mai puțin frecvent decât zilnic) tutun sub orice formă [pentru fumat, tutun fără fum și produse cu tutun încălzit (</w:t>
      </w:r>
      <w:r w:rsidR="00404EF8">
        <w:t>11,12</w:t>
      </w:r>
      <w:r>
        <w:t>)]. Per total, 30.2% (5.6 milioane, 39.2% dintre bărbați și 21.5% dintre femei) de adulți au fumat tutun în mod curent</w:t>
      </w:r>
      <w:r w:rsidR="00404EF8">
        <w:t xml:space="preserve"> (Tabel 2)</w:t>
      </w:r>
      <w:r>
        <w:t>. O treime din fumătorii români (33,5%) au fost adulți tineri, din grupa de vârstă 15-24 de ani.</w:t>
      </w:r>
      <w:r w:rsidR="00404EF8">
        <w:t xml:space="preserve"> 5 milioane de adulți s-au declarat fumători curenți zilnic (3,2 milioane de bărbați și 1,8 milioane de femei). Dintre fumătorii curenți zilnic, 71.5% fumează în primele 30 de minute de la trezire. Vârsta medie de inițiere a consumului de tutun, între persoanele în vârstă de 20-34 ani, care au fost sau sunt fumători curenți zilnic a fost 17,9 ani (17,7 ani  în rândul bărbaților și 18,3 ani în rândul femeilor).</w:t>
      </w:r>
    </w:p>
    <w:p w14:paraId="6D81C29B" w14:textId="77777777" w:rsidR="00404EF8" w:rsidRDefault="00404EF8" w:rsidP="00404EF8">
      <w:pPr>
        <w:spacing w:before="0" w:beforeAutospacing="0" w:after="120" w:afterAutospacing="0"/>
      </w:pPr>
      <w:r>
        <w:lastRenderedPageBreak/>
        <w:t>În general, 30,0% (5.5 milioane) dintre adulți s-au declarat fumători curenți de țigări (39,5% dintre bărbați și 21,2% dintre femei). Aceștia consumă în medie 16.5 țigări pe zi (bărbații 18,1, femeile 13,7). Mai mult de patru din zece români în vârstă de cel puțin 15 ani au fumat 20 sau mai multe țigări pe zi.</w:t>
      </w:r>
    </w:p>
    <w:p w14:paraId="16924A96" w14:textId="77777777" w:rsidR="00404EF8" w:rsidRDefault="00404EF8" w:rsidP="00404EF8">
      <w:pPr>
        <w:spacing w:before="0" w:beforeAutospacing="0" w:after="120" w:afterAutospacing="0"/>
      </w:pPr>
      <w:r>
        <w:t xml:space="preserve">30,1% dintre adulții români în vârstă de 15 ani sau mai mult, au auzit vreodată de produse cu tutun încălzit, 4,3% dintre adulți au consumat vreodată produse cu tutun încălzit, iar 1,3% au fost consumatori curenți. Între adulții care au consumat măcar o dată produse din tutun încălzit, vârsta medie de inițiere a fost de 29,6 ani. </w:t>
      </w:r>
    </w:p>
    <w:p w14:paraId="0BD81B22" w14:textId="528B53B1" w:rsidR="00B406D1" w:rsidRDefault="00404EF8" w:rsidP="00404EF8">
      <w:pPr>
        <w:spacing w:before="0" w:beforeAutospacing="0" w:after="120" w:afterAutospacing="0"/>
      </w:pPr>
      <w:r>
        <w:t>Cele trei motive principale pentru consumul produselor cu tutun încălzit (în rândul celor care au consumat măcar o dată produse cu tutun încălzit) au fost: "Pot fi consumate în momentele și în locurile în care fumatul de tutun nu este permis" (79,0%), "Pentru că îmi place" (67.9%), și "Sunt mai puțin dăunătoare decât fumatul” (62.1%).</w:t>
      </w:r>
    </w:p>
    <w:p w14:paraId="23761EA9" w14:textId="2556E1E8" w:rsidR="007C12C0" w:rsidRDefault="007C12C0" w:rsidP="007C12C0">
      <w:pPr>
        <w:pStyle w:val="Caption"/>
        <w:rPr>
          <w:color w:val="auto"/>
          <w:sz w:val="20"/>
          <w:szCs w:val="20"/>
        </w:rPr>
      </w:pPr>
      <w:r w:rsidRPr="005F2901">
        <w:rPr>
          <w:color w:val="auto"/>
          <w:sz w:val="20"/>
          <w:szCs w:val="20"/>
        </w:rPr>
        <w:t xml:space="preserve">Tabel </w:t>
      </w:r>
      <w:r w:rsidRPr="005F2901">
        <w:rPr>
          <w:color w:val="auto"/>
          <w:sz w:val="20"/>
          <w:szCs w:val="20"/>
        </w:rPr>
        <w:fldChar w:fldCharType="begin"/>
      </w:r>
      <w:r w:rsidRPr="005F2901">
        <w:rPr>
          <w:color w:val="auto"/>
          <w:sz w:val="20"/>
          <w:szCs w:val="20"/>
        </w:rPr>
        <w:instrText xml:space="preserve"> SEQ Tabel \* ARABIC </w:instrText>
      </w:r>
      <w:r w:rsidRPr="005F2901">
        <w:rPr>
          <w:color w:val="auto"/>
          <w:sz w:val="20"/>
          <w:szCs w:val="20"/>
        </w:rPr>
        <w:fldChar w:fldCharType="separate"/>
      </w:r>
      <w:r w:rsidR="00CA1CF9">
        <w:rPr>
          <w:noProof/>
          <w:color w:val="auto"/>
          <w:sz w:val="20"/>
          <w:szCs w:val="20"/>
        </w:rPr>
        <w:t>2</w:t>
      </w:r>
      <w:r w:rsidRPr="005F2901">
        <w:rPr>
          <w:color w:val="auto"/>
          <w:sz w:val="20"/>
          <w:szCs w:val="20"/>
        </w:rPr>
        <w:fldChar w:fldCharType="end"/>
      </w:r>
      <w:r w:rsidR="005F2901" w:rsidRPr="005F2901">
        <w:rPr>
          <w:sz w:val="20"/>
          <w:szCs w:val="20"/>
        </w:rPr>
        <w:t xml:space="preserve">. </w:t>
      </w:r>
      <w:r w:rsidR="005F2901" w:rsidRPr="005F2901">
        <w:rPr>
          <w:color w:val="auto"/>
          <w:sz w:val="20"/>
          <w:szCs w:val="20"/>
        </w:rPr>
        <w:t>Statusul privind fumatul al populației de 15 sau mai mulți ani GATS 2018</w:t>
      </w:r>
    </w:p>
    <w:tbl>
      <w:tblPr>
        <w:tblStyle w:val="GridTable4-Accent1"/>
        <w:tblW w:w="5000" w:type="pct"/>
        <w:tblLook w:val="0420" w:firstRow="1" w:lastRow="0" w:firstColumn="0" w:lastColumn="0" w:noHBand="0" w:noVBand="1"/>
      </w:tblPr>
      <w:tblGrid>
        <w:gridCol w:w="3001"/>
        <w:gridCol w:w="2096"/>
        <w:gridCol w:w="2549"/>
        <w:gridCol w:w="2549"/>
      </w:tblGrid>
      <w:tr w:rsidR="00404EF8" w:rsidRPr="00777D82" w14:paraId="40E2655A" w14:textId="77777777" w:rsidTr="00965EF9">
        <w:trPr>
          <w:cnfStyle w:val="100000000000" w:firstRow="1" w:lastRow="0" w:firstColumn="0" w:lastColumn="0" w:oddVBand="0" w:evenVBand="0" w:oddHBand="0" w:evenHBand="0" w:firstRowFirstColumn="0" w:firstRowLastColumn="0" w:lastRowFirstColumn="0" w:lastRowLastColumn="0"/>
          <w:trHeight w:val="334"/>
        </w:trPr>
        <w:tc>
          <w:tcPr>
            <w:tcW w:w="1472" w:type="pct"/>
            <w:hideMark/>
          </w:tcPr>
          <w:p w14:paraId="68E91B38" w14:textId="77777777" w:rsidR="00404EF8" w:rsidRPr="00777D82" w:rsidRDefault="00404EF8" w:rsidP="00965EF9">
            <w:pPr>
              <w:rPr>
                <w:rFonts w:eastAsia="Times New Roman"/>
                <w:sz w:val="20"/>
                <w:szCs w:val="20"/>
              </w:rPr>
            </w:pPr>
            <w:r w:rsidRPr="00404EF8">
              <w:rPr>
                <w:rFonts w:eastAsia="Times New Roman"/>
                <w:color w:val="FFFFFF" w:themeColor="light1"/>
                <w:kern w:val="24"/>
                <w:sz w:val="20"/>
                <w:szCs w:val="20"/>
              </w:rPr>
              <w:t>Statusul privind fumatul</w:t>
            </w:r>
          </w:p>
        </w:tc>
        <w:tc>
          <w:tcPr>
            <w:tcW w:w="1028" w:type="pct"/>
            <w:hideMark/>
          </w:tcPr>
          <w:p w14:paraId="51C618F2" w14:textId="77777777" w:rsidR="00404EF8" w:rsidRPr="00777D82" w:rsidRDefault="00404EF8" w:rsidP="00965EF9">
            <w:pPr>
              <w:jc w:val="center"/>
              <w:rPr>
                <w:rFonts w:eastAsia="Times New Roman"/>
                <w:sz w:val="20"/>
                <w:szCs w:val="20"/>
              </w:rPr>
            </w:pPr>
            <w:r w:rsidRPr="00404EF8">
              <w:rPr>
                <w:rFonts w:eastAsia="Times New Roman"/>
                <w:color w:val="FFFFFF" w:themeColor="light1"/>
                <w:kern w:val="24"/>
                <w:sz w:val="20"/>
                <w:szCs w:val="20"/>
              </w:rPr>
              <w:t>Total</w:t>
            </w:r>
          </w:p>
        </w:tc>
        <w:tc>
          <w:tcPr>
            <w:tcW w:w="1250" w:type="pct"/>
            <w:hideMark/>
          </w:tcPr>
          <w:p w14:paraId="37B7E171" w14:textId="77777777" w:rsidR="00404EF8" w:rsidRPr="00777D82" w:rsidRDefault="00404EF8" w:rsidP="00965EF9">
            <w:pPr>
              <w:jc w:val="center"/>
              <w:rPr>
                <w:rFonts w:eastAsia="Times New Roman"/>
                <w:sz w:val="20"/>
                <w:szCs w:val="20"/>
              </w:rPr>
            </w:pPr>
            <w:r w:rsidRPr="00404EF8">
              <w:rPr>
                <w:rFonts w:eastAsia="Times New Roman"/>
                <w:color w:val="FFFFFF" w:themeColor="light1"/>
                <w:kern w:val="24"/>
                <w:sz w:val="20"/>
                <w:szCs w:val="20"/>
              </w:rPr>
              <w:t xml:space="preserve">Bărbați </w:t>
            </w:r>
          </w:p>
        </w:tc>
        <w:tc>
          <w:tcPr>
            <w:tcW w:w="1250" w:type="pct"/>
            <w:hideMark/>
          </w:tcPr>
          <w:p w14:paraId="24508A9D" w14:textId="77777777" w:rsidR="00404EF8" w:rsidRPr="00777D82" w:rsidRDefault="00404EF8" w:rsidP="00965EF9">
            <w:pPr>
              <w:jc w:val="center"/>
              <w:rPr>
                <w:rFonts w:eastAsia="Times New Roman"/>
                <w:sz w:val="20"/>
                <w:szCs w:val="20"/>
              </w:rPr>
            </w:pPr>
            <w:r w:rsidRPr="00404EF8">
              <w:rPr>
                <w:rFonts w:eastAsia="Times New Roman"/>
                <w:color w:val="FFFFFF" w:themeColor="light1"/>
                <w:kern w:val="24"/>
                <w:sz w:val="20"/>
                <w:szCs w:val="20"/>
              </w:rPr>
              <w:t>Femei</w:t>
            </w:r>
          </w:p>
        </w:tc>
      </w:tr>
      <w:tr w:rsidR="00404EF8" w:rsidRPr="00777D82" w14:paraId="4F0DB5D4" w14:textId="77777777" w:rsidTr="00404EF8">
        <w:trPr>
          <w:cnfStyle w:val="000000100000" w:firstRow="0" w:lastRow="0" w:firstColumn="0" w:lastColumn="0" w:oddVBand="0" w:evenVBand="0" w:oddHBand="1" w:evenHBand="0" w:firstRowFirstColumn="0" w:firstRowLastColumn="0" w:lastRowFirstColumn="0" w:lastRowLastColumn="0"/>
          <w:trHeight w:val="245"/>
        </w:trPr>
        <w:tc>
          <w:tcPr>
            <w:tcW w:w="5000" w:type="pct"/>
            <w:gridSpan w:val="4"/>
            <w:hideMark/>
          </w:tcPr>
          <w:p w14:paraId="48571000" w14:textId="77777777" w:rsidR="00404EF8" w:rsidRPr="00777D82" w:rsidRDefault="00404EF8" w:rsidP="00965EF9">
            <w:pPr>
              <w:jc w:val="center"/>
              <w:rPr>
                <w:rFonts w:eastAsia="Times New Roman"/>
                <w:sz w:val="20"/>
                <w:szCs w:val="20"/>
              </w:rPr>
            </w:pPr>
            <w:r w:rsidRPr="00404EF8">
              <w:rPr>
                <w:rFonts w:eastAsia="Times New Roman"/>
                <w:i/>
                <w:iCs/>
                <w:color w:val="000000" w:themeColor="dark1"/>
                <w:kern w:val="24"/>
                <w:sz w:val="20"/>
                <w:szCs w:val="20"/>
              </w:rPr>
              <w:t>Număr (mii)</w:t>
            </w:r>
          </w:p>
        </w:tc>
      </w:tr>
      <w:tr w:rsidR="00404EF8" w:rsidRPr="00777D82" w14:paraId="5CC7E614" w14:textId="77777777" w:rsidTr="00404EF8">
        <w:trPr>
          <w:trHeight w:val="309"/>
        </w:trPr>
        <w:tc>
          <w:tcPr>
            <w:tcW w:w="1472" w:type="pct"/>
            <w:hideMark/>
          </w:tcPr>
          <w:p w14:paraId="5C055A15" w14:textId="77777777" w:rsidR="00404EF8" w:rsidRPr="00777D82" w:rsidRDefault="00404EF8" w:rsidP="00965EF9">
            <w:pPr>
              <w:textAlignment w:val="center"/>
              <w:rPr>
                <w:rFonts w:eastAsia="Times New Roman"/>
                <w:sz w:val="20"/>
                <w:szCs w:val="20"/>
              </w:rPr>
            </w:pPr>
            <w:r w:rsidRPr="00777D82">
              <w:rPr>
                <w:rFonts w:eastAsia="Times New Roman"/>
                <w:b/>
                <w:bCs/>
                <w:color w:val="000000"/>
                <w:kern w:val="24"/>
                <w:sz w:val="20"/>
                <w:szCs w:val="20"/>
              </w:rPr>
              <w:t>Fumători curenți</w:t>
            </w:r>
          </w:p>
        </w:tc>
        <w:tc>
          <w:tcPr>
            <w:tcW w:w="1028" w:type="pct"/>
            <w:hideMark/>
          </w:tcPr>
          <w:p w14:paraId="545DD030"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5,574.6</w:t>
            </w:r>
          </w:p>
        </w:tc>
        <w:tc>
          <w:tcPr>
            <w:tcW w:w="1250" w:type="pct"/>
            <w:hideMark/>
          </w:tcPr>
          <w:p w14:paraId="2E08A53E"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3,554.5</w:t>
            </w:r>
          </w:p>
        </w:tc>
        <w:tc>
          <w:tcPr>
            <w:tcW w:w="1250" w:type="pct"/>
            <w:hideMark/>
          </w:tcPr>
          <w:p w14:paraId="1CB81344"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2,020.1</w:t>
            </w:r>
          </w:p>
        </w:tc>
      </w:tr>
      <w:tr w:rsidR="00404EF8" w:rsidRPr="00777D82" w14:paraId="4A34AA27" w14:textId="77777777" w:rsidTr="00404EF8">
        <w:trPr>
          <w:cnfStyle w:val="000000100000" w:firstRow="0" w:lastRow="0" w:firstColumn="0" w:lastColumn="0" w:oddVBand="0" w:evenVBand="0" w:oddHBand="1" w:evenHBand="0" w:firstRowFirstColumn="0" w:firstRowLastColumn="0" w:lastRowFirstColumn="0" w:lastRowLastColumn="0"/>
          <w:trHeight w:val="257"/>
        </w:trPr>
        <w:tc>
          <w:tcPr>
            <w:tcW w:w="1472" w:type="pct"/>
            <w:hideMark/>
          </w:tcPr>
          <w:p w14:paraId="7BD266F4"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Fumători zilnic</w:t>
            </w:r>
          </w:p>
        </w:tc>
        <w:tc>
          <w:tcPr>
            <w:tcW w:w="1028" w:type="pct"/>
            <w:hideMark/>
          </w:tcPr>
          <w:p w14:paraId="51C488BD"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5,047.4</w:t>
            </w:r>
          </w:p>
        </w:tc>
        <w:tc>
          <w:tcPr>
            <w:tcW w:w="1250" w:type="pct"/>
            <w:hideMark/>
          </w:tcPr>
          <w:p w14:paraId="7BBE9C4A"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3,266.1</w:t>
            </w:r>
          </w:p>
        </w:tc>
        <w:tc>
          <w:tcPr>
            <w:tcW w:w="1250" w:type="pct"/>
            <w:hideMark/>
          </w:tcPr>
          <w:p w14:paraId="5A7EB6B8"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1,781.2</w:t>
            </w:r>
          </w:p>
        </w:tc>
      </w:tr>
      <w:tr w:rsidR="00404EF8" w:rsidRPr="00777D82" w14:paraId="1F90A1B9" w14:textId="77777777" w:rsidTr="00404EF8">
        <w:trPr>
          <w:trHeight w:val="289"/>
        </w:trPr>
        <w:tc>
          <w:tcPr>
            <w:tcW w:w="1472" w:type="pct"/>
            <w:hideMark/>
          </w:tcPr>
          <w:p w14:paraId="617076ED"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Fumători ocazional</w:t>
            </w:r>
          </w:p>
        </w:tc>
        <w:tc>
          <w:tcPr>
            <w:tcW w:w="1028" w:type="pct"/>
            <w:hideMark/>
          </w:tcPr>
          <w:p w14:paraId="328F5D5B"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527.2</w:t>
            </w:r>
          </w:p>
        </w:tc>
        <w:tc>
          <w:tcPr>
            <w:tcW w:w="1250" w:type="pct"/>
            <w:hideMark/>
          </w:tcPr>
          <w:p w14:paraId="40FD3E2E"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288.3</w:t>
            </w:r>
          </w:p>
        </w:tc>
        <w:tc>
          <w:tcPr>
            <w:tcW w:w="1250" w:type="pct"/>
            <w:hideMark/>
          </w:tcPr>
          <w:p w14:paraId="4E47478C"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238.9</w:t>
            </w:r>
          </w:p>
        </w:tc>
      </w:tr>
      <w:tr w:rsidR="00404EF8" w:rsidRPr="00777D82" w14:paraId="6CFA5031" w14:textId="77777777" w:rsidTr="00404EF8">
        <w:trPr>
          <w:cnfStyle w:val="000000100000" w:firstRow="0" w:lastRow="0" w:firstColumn="0" w:lastColumn="0" w:oddVBand="0" w:evenVBand="0" w:oddHBand="1" w:evenHBand="0" w:firstRowFirstColumn="0" w:firstRowLastColumn="0" w:lastRowFirstColumn="0" w:lastRowLastColumn="0"/>
          <w:trHeight w:val="279"/>
        </w:trPr>
        <w:tc>
          <w:tcPr>
            <w:tcW w:w="1472" w:type="pct"/>
            <w:hideMark/>
          </w:tcPr>
          <w:p w14:paraId="0A990436"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Fumători ocazional, foști zilnic</w:t>
            </w:r>
          </w:p>
        </w:tc>
        <w:tc>
          <w:tcPr>
            <w:tcW w:w="1028" w:type="pct"/>
            <w:hideMark/>
          </w:tcPr>
          <w:p w14:paraId="2B434277"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225.4</w:t>
            </w:r>
          </w:p>
        </w:tc>
        <w:tc>
          <w:tcPr>
            <w:tcW w:w="1250" w:type="pct"/>
            <w:hideMark/>
          </w:tcPr>
          <w:p w14:paraId="4E59A792"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126.8</w:t>
            </w:r>
          </w:p>
        </w:tc>
        <w:tc>
          <w:tcPr>
            <w:tcW w:w="1250" w:type="pct"/>
            <w:hideMark/>
          </w:tcPr>
          <w:p w14:paraId="607E6BCC"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98.6</w:t>
            </w:r>
          </w:p>
        </w:tc>
      </w:tr>
      <w:tr w:rsidR="00404EF8" w:rsidRPr="00777D82" w14:paraId="003E22ED" w14:textId="77777777" w:rsidTr="00965EF9">
        <w:trPr>
          <w:trHeight w:val="506"/>
        </w:trPr>
        <w:tc>
          <w:tcPr>
            <w:tcW w:w="1472" w:type="pct"/>
            <w:hideMark/>
          </w:tcPr>
          <w:p w14:paraId="59E354E5"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Fumători ocazional, niciodată zilnic</w:t>
            </w:r>
          </w:p>
        </w:tc>
        <w:tc>
          <w:tcPr>
            <w:tcW w:w="1028" w:type="pct"/>
            <w:hideMark/>
          </w:tcPr>
          <w:p w14:paraId="013CC104"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301.8</w:t>
            </w:r>
          </w:p>
        </w:tc>
        <w:tc>
          <w:tcPr>
            <w:tcW w:w="1250" w:type="pct"/>
            <w:hideMark/>
          </w:tcPr>
          <w:p w14:paraId="12C5788B"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161.5</w:t>
            </w:r>
          </w:p>
        </w:tc>
        <w:tc>
          <w:tcPr>
            <w:tcW w:w="1250" w:type="pct"/>
            <w:hideMark/>
          </w:tcPr>
          <w:p w14:paraId="3CAE27EA"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140.3</w:t>
            </w:r>
          </w:p>
        </w:tc>
      </w:tr>
      <w:tr w:rsidR="00404EF8" w:rsidRPr="00777D82" w14:paraId="1AD98F4A" w14:textId="77777777" w:rsidTr="00404EF8">
        <w:trPr>
          <w:cnfStyle w:val="000000100000" w:firstRow="0" w:lastRow="0" w:firstColumn="0" w:lastColumn="0" w:oddVBand="0" w:evenVBand="0" w:oddHBand="1" w:evenHBand="0" w:firstRowFirstColumn="0" w:firstRowLastColumn="0" w:lastRowFirstColumn="0" w:lastRowLastColumn="0"/>
          <w:trHeight w:val="319"/>
        </w:trPr>
        <w:tc>
          <w:tcPr>
            <w:tcW w:w="1472" w:type="pct"/>
            <w:hideMark/>
          </w:tcPr>
          <w:p w14:paraId="6ACE90E6" w14:textId="77777777" w:rsidR="00404EF8" w:rsidRPr="00777D82" w:rsidRDefault="00404EF8" w:rsidP="00965EF9">
            <w:pPr>
              <w:textAlignment w:val="center"/>
              <w:rPr>
                <w:rFonts w:eastAsia="Times New Roman"/>
                <w:sz w:val="20"/>
                <w:szCs w:val="20"/>
              </w:rPr>
            </w:pPr>
            <w:r w:rsidRPr="00777D82">
              <w:rPr>
                <w:rFonts w:eastAsia="Times New Roman"/>
                <w:b/>
                <w:bCs/>
                <w:color w:val="000000"/>
                <w:kern w:val="24"/>
                <w:sz w:val="20"/>
                <w:szCs w:val="20"/>
              </w:rPr>
              <w:t>Nefumători</w:t>
            </w:r>
          </w:p>
        </w:tc>
        <w:tc>
          <w:tcPr>
            <w:tcW w:w="1028" w:type="pct"/>
            <w:hideMark/>
          </w:tcPr>
          <w:p w14:paraId="1199A73E"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12,877.8</w:t>
            </w:r>
          </w:p>
        </w:tc>
        <w:tc>
          <w:tcPr>
            <w:tcW w:w="1250" w:type="pct"/>
            <w:hideMark/>
          </w:tcPr>
          <w:p w14:paraId="4EB1B5BD"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5,384.8</w:t>
            </w:r>
          </w:p>
        </w:tc>
        <w:tc>
          <w:tcPr>
            <w:tcW w:w="1250" w:type="pct"/>
            <w:hideMark/>
          </w:tcPr>
          <w:p w14:paraId="1295E0B1"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7,492.9</w:t>
            </w:r>
          </w:p>
        </w:tc>
      </w:tr>
      <w:tr w:rsidR="00404EF8" w:rsidRPr="00777D82" w14:paraId="7A12DF55" w14:textId="77777777" w:rsidTr="00404EF8">
        <w:trPr>
          <w:trHeight w:val="267"/>
        </w:trPr>
        <w:tc>
          <w:tcPr>
            <w:tcW w:w="1472" w:type="pct"/>
            <w:hideMark/>
          </w:tcPr>
          <w:p w14:paraId="275ACB12"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Foști fumători zilnic</w:t>
            </w:r>
          </w:p>
        </w:tc>
        <w:tc>
          <w:tcPr>
            <w:tcW w:w="1028" w:type="pct"/>
            <w:hideMark/>
          </w:tcPr>
          <w:p w14:paraId="612D4C6D"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1,610.4</w:t>
            </w:r>
          </w:p>
        </w:tc>
        <w:tc>
          <w:tcPr>
            <w:tcW w:w="1250" w:type="pct"/>
            <w:hideMark/>
          </w:tcPr>
          <w:p w14:paraId="21D9D81A"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1,030.5</w:t>
            </w:r>
          </w:p>
        </w:tc>
        <w:tc>
          <w:tcPr>
            <w:tcW w:w="1250" w:type="pct"/>
            <w:hideMark/>
          </w:tcPr>
          <w:p w14:paraId="3D442381"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579.8</w:t>
            </w:r>
          </w:p>
        </w:tc>
      </w:tr>
      <w:tr w:rsidR="00404EF8" w:rsidRPr="00777D82" w14:paraId="0F3AE5CE" w14:textId="77777777" w:rsidTr="00404EF8">
        <w:trPr>
          <w:cnfStyle w:val="000000100000" w:firstRow="0" w:lastRow="0" w:firstColumn="0" w:lastColumn="0" w:oddVBand="0" w:evenVBand="0" w:oddHBand="1" w:evenHBand="0" w:firstRowFirstColumn="0" w:firstRowLastColumn="0" w:lastRowFirstColumn="0" w:lastRowLastColumn="0"/>
          <w:trHeight w:val="285"/>
        </w:trPr>
        <w:tc>
          <w:tcPr>
            <w:tcW w:w="1472" w:type="pct"/>
            <w:hideMark/>
          </w:tcPr>
          <w:p w14:paraId="410EA70E"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Niciodată fumători</w:t>
            </w:r>
          </w:p>
        </w:tc>
        <w:tc>
          <w:tcPr>
            <w:tcW w:w="1028" w:type="pct"/>
            <w:hideMark/>
          </w:tcPr>
          <w:p w14:paraId="6A2BA291"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11,267.4</w:t>
            </w:r>
          </w:p>
        </w:tc>
        <w:tc>
          <w:tcPr>
            <w:tcW w:w="1250" w:type="pct"/>
            <w:hideMark/>
          </w:tcPr>
          <w:p w14:paraId="270896C1"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4,354.3</w:t>
            </w:r>
          </w:p>
        </w:tc>
        <w:tc>
          <w:tcPr>
            <w:tcW w:w="1250" w:type="pct"/>
            <w:hideMark/>
          </w:tcPr>
          <w:p w14:paraId="0F8C2A2E"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6,913.1</w:t>
            </w:r>
          </w:p>
        </w:tc>
      </w:tr>
      <w:tr w:rsidR="00404EF8" w:rsidRPr="00777D82" w14:paraId="019DB5F2" w14:textId="77777777" w:rsidTr="00404EF8">
        <w:trPr>
          <w:trHeight w:val="261"/>
        </w:trPr>
        <w:tc>
          <w:tcPr>
            <w:tcW w:w="1472" w:type="pct"/>
            <w:hideMark/>
          </w:tcPr>
          <w:p w14:paraId="618EC110"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Foști fumători ocazional</w:t>
            </w:r>
          </w:p>
        </w:tc>
        <w:tc>
          <w:tcPr>
            <w:tcW w:w="1028" w:type="pct"/>
            <w:hideMark/>
          </w:tcPr>
          <w:p w14:paraId="3C91699D"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689.3</w:t>
            </w:r>
          </w:p>
        </w:tc>
        <w:tc>
          <w:tcPr>
            <w:tcW w:w="1250" w:type="pct"/>
            <w:hideMark/>
          </w:tcPr>
          <w:p w14:paraId="318D8DF8"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321.2</w:t>
            </w:r>
          </w:p>
        </w:tc>
        <w:tc>
          <w:tcPr>
            <w:tcW w:w="1250" w:type="pct"/>
            <w:hideMark/>
          </w:tcPr>
          <w:p w14:paraId="1E8C2615"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368.1</w:t>
            </w:r>
          </w:p>
        </w:tc>
      </w:tr>
      <w:tr w:rsidR="00404EF8" w:rsidRPr="00777D82" w14:paraId="30B32AA1" w14:textId="77777777" w:rsidTr="00404EF8">
        <w:trPr>
          <w:cnfStyle w:val="000000100000" w:firstRow="0" w:lastRow="0" w:firstColumn="0" w:lastColumn="0" w:oddVBand="0" w:evenVBand="0" w:oddHBand="1" w:evenHBand="0" w:firstRowFirstColumn="0" w:firstRowLastColumn="0" w:lastRowFirstColumn="0" w:lastRowLastColumn="0"/>
          <w:trHeight w:val="279"/>
        </w:trPr>
        <w:tc>
          <w:tcPr>
            <w:tcW w:w="1472" w:type="pct"/>
            <w:hideMark/>
          </w:tcPr>
          <w:p w14:paraId="1A59AEE0" w14:textId="77777777" w:rsidR="00404EF8" w:rsidRPr="00777D82" w:rsidRDefault="00404EF8" w:rsidP="00965EF9">
            <w:pPr>
              <w:textAlignment w:val="center"/>
              <w:rPr>
                <w:rFonts w:eastAsia="Times New Roman"/>
                <w:sz w:val="20"/>
                <w:szCs w:val="20"/>
              </w:rPr>
            </w:pPr>
            <w:r w:rsidRPr="00777D82">
              <w:rPr>
                <w:rFonts w:eastAsia="Times New Roman"/>
                <w:color w:val="000000"/>
                <w:kern w:val="24"/>
                <w:sz w:val="20"/>
                <w:szCs w:val="20"/>
              </w:rPr>
              <w:t>Niciodată fumători</w:t>
            </w:r>
          </w:p>
        </w:tc>
        <w:tc>
          <w:tcPr>
            <w:tcW w:w="1028" w:type="pct"/>
            <w:hideMark/>
          </w:tcPr>
          <w:p w14:paraId="7D96966C"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10,578.1</w:t>
            </w:r>
          </w:p>
        </w:tc>
        <w:tc>
          <w:tcPr>
            <w:tcW w:w="1250" w:type="pct"/>
            <w:hideMark/>
          </w:tcPr>
          <w:p w14:paraId="1515AAC8"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4,033.1</w:t>
            </w:r>
          </w:p>
        </w:tc>
        <w:tc>
          <w:tcPr>
            <w:tcW w:w="1250" w:type="pct"/>
            <w:hideMark/>
          </w:tcPr>
          <w:p w14:paraId="7B4567FC" w14:textId="77777777" w:rsidR="00404EF8" w:rsidRPr="00777D82" w:rsidRDefault="00404EF8" w:rsidP="00965EF9">
            <w:pPr>
              <w:jc w:val="right"/>
              <w:textAlignment w:val="bottom"/>
              <w:rPr>
                <w:rFonts w:eastAsia="Times New Roman"/>
                <w:sz w:val="20"/>
                <w:szCs w:val="20"/>
              </w:rPr>
            </w:pPr>
            <w:r w:rsidRPr="00777D82">
              <w:rPr>
                <w:rFonts w:eastAsia="Times New Roman"/>
                <w:color w:val="000000"/>
                <w:kern w:val="24"/>
                <w:sz w:val="20"/>
                <w:szCs w:val="20"/>
              </w:rPr>
              <w:t>6,545.0</w:t>
            </w:r>
          </w:p>
        </w:tc>
      </w:tr>
    </w:tbl>
    <w:p w14:paraId="783A5924" w14:textId="1A1C5518" w:rsidR="00404EF8" w:rsidRPr="00404EF8" w:rsidRDefault="00404EF8" w:rsidP="00404EF8">
      <w:pPr>
        <w:pStyle w:val="Caption"/>
        <w:rPr>
          <w:color w:val="auto"/>
          <w:sz w:val="20"/>
          <w:szCs w:val="20"/>
        </w:rPr>
      </w:pPr>
      <w:r w:rsidRPr="00404EF8">
        <w:rPr>
          <w:color w:val="auto"/>
          <w:sz w:val="20"/>
          <w:szCs w:val="20"/>
        </w:rPr>
        <w:t xml:space="preserve">Figura </w:t>
      </w:r>
      <w:r w:rsidRPr="00404EF8">
        <w:rPr>
          <w:color w:val="auto"/>
          <w:sz w:val="20"/>
          <w:szCs w:val="20"/>
        </w:rPr>
        <w:fldChar w:fldCharType="begin"/>
      </w:r>
      <w:r w:rsidRPr="00404EF8">
        <w:rPr>
          <w:color w:val="auto"/>
          <w:sz w:val="20"/>
          <w:szCs w:val="20"/>
        </w:rPr>
        <w:instrText xml:space="preserve"> SEQ Figura \* ARABIC </w:instrText>
      </w:r>
      <w:r w:rsidRPr="00404EF8">
        <w:rPr>
          <w:color w:val="auto"/>
          <w:sz w:val="20"/>
          <w:szCs w:val="20"/>
        </w:rPr>
        <w:fldChar w:fldCharType="separate"/>
      </w:r>
      <w:r w:rsidR="00CA1CF9">
        <w:rPr>
          <w:noProof/>
          <w:color w:val="auto"/>
          <w:sz w:val="20"/>
          <w:szCs w:val="20"/>
        </w:rPr>
        <w:t>1</w:t>
      </w:r>
      <w:r w:rsidRPr="00404EF8">
        <w:rPr>
          <w:color w:val="auto"/>
          <w:sz w:val="20"/>
          <w:szCs w:val="20"/>
        </w:rPr>
        <w:fldChar w:fldCharType="end"/>
      </w:r>
      <w:r w:rsidRPr="00404EF8">
        <w:rPr>
          <w:color w:val="auto"/>
          <w:sz w:val="20"/>
          <w:szCs w:val="20"/>
        </w:rPr>
        <w:t>.</w:t>
      </w:r>
      <w:r>
        <w:rPr>
          <w:color w:val="auto"/>
          <w:sz w:val="20"/>
          <w:szCs w:val="20"/>
        </w:rPr>
        <w:t xml:space="preserve"> </w:t>
      </w:r>
      <w:r w:rsidRPr="00404EF8">
        <w:rPr>
          <w:color w:val="auto"/>
          <w:sz w:val="20"/>
          <w:szCs w:val="20"/>
        </w:rPr>
        <w:t>Consumul de tutun (%) pe tip de produs consumat și pe gen GATS România 2018</w:t>
      </w:r>
    </w:p>
    <w:p w14:paraId="1C4C2725" w14:textId="2C230997" w:rsidR="00404EF8" w:rsidRPr="00404EF8" w:rsidRDefault="00404EF8" w:rsidP="00404EF8">
      <w:r>
        <w:rPr>
          <w:noProof/>
          <w:lang w:val="en-US"/>
        </w:rPr>
        <w:drawing>
          <wp:anchor distT="0" distB="0" distL="114300" distR="114300" simplePos="0" relativeHeight="251654144" behindDoc="0" locked="0" layoutInCell="1" allowOverlap="1" wp14:anchorId="27CFB379" wp14:editId="323B20A3">
            <wp:simplePos x="0" y="0"/>
            <wp:positionH relativeFrom="column">
              <wp:posOffset>31115</wp:posOffset>
            </wp:positionH>
            <wp:positionV relativeFrom="paragraph">
              <wp:posOffset>57785</wp:posOffset>
            </wp:positionV>
            <wp:extent cx="5867400" cy="2924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2924175"/>
                    </a:xfrm>
                    <a:prstGeom prst="rect">
                      <a:avLst/>
                    </a:prstGeom>
                    <a:noFill/>
                  </pic:spPr>
                </pic:pic>
              </a:graphicData>
            </a:graphic>
            <wp14:sizeRelH relativeFrom="page">
              <wp14:pctWidth>0</wp14:pctWidth>
            </wp14:sizeRelH>
            <wp14:sizeRelV relativeFrom="page">
              <wp14:pctHeight>0</wp14:pctHeight>
            </wp14:sizeRelV>
          </wp:anchor>
        </w:drawing>
      </w:r>
    </w:p>
    <w:p w14:paraId="754020BD" w14:textId="77777777" w:rsidR="005F2901" w:rsidRPr="005F2901" w:rsidRDefault="005F2901" w:rsidP="005F2901"/>
    <w:p w14:paraId="0E1032CB" w14:textId="77777777" w:rsidR="007C12C0" w:rsidRDefault="007C12C0" w:rsidP="007C12C0">
      <w:pPr>
        <w:spacing w:before="0" w:beforeAutospacing="0" w:after="120" w:afterAutospacing="0"/>
      </w:pPr>
    </w:p>
    <w:p w14:paraId="30EEDF5E" w14:textId="77777777" w:rsidR="007C12C0" w:rsidRDefault="007C12C0" w:rsidP="007C12C0">
      <w:pPr>
        <w:spacing w:before="0" w:beforeAutospacing="0" w:after="120" w:afterAutospacing="0"/>
      </w:pPr>
    </w:p>
    <w:p w14:paraId="1921970B" w14:textId="77777777" w:rsidR="007C12C0" w:rsidRDefault="007C12C0" w:rsidP="007C12C0">
      <w:pPr>
        <w:spacing w:before="0" w:beforeAutospacing="0" w:after="120" w:afterAutospacing="0"/>
      </w:pPr>
    </w:p>
    <w:p w14:paraId="4437572B" w14:textId="77777777" w:rsidR="007C12C0" w:rsidRDefault="007C12C0" w:rsidP="007C12C0">
      <w:pPr>
        <w:spacing w:before="0" w:beforeAutospacing="0" w:after="120" w:afterAutospacing="0"/>
      </w:pPr>
    </w:p>
    <w:p w14:paraId="22166CDC" w14:textId="77777777" w:rsidR="007C12C0" w:rsidRDefault="007C12C0" w:rsidP="007C12C0">
      <w:pPr>
        <w:spacing w:before="0" w:beforeAutospacing="0" w:after="120" w:afterAutospacing="0"/>
      </w:pPr>
    </w:p>
    <w:p w14:paraId="78BFBF67" w14:textId="77777777" w:rsidR="007C12C0" w:rsidRDefault="007C12C0" w:rsidP="007C12C0">
      <w:pPr>
        <w:spacing w:before="0" w:beforeAutospacing="0" w:after="120" w:afterAutospacing="0"/>
      </w:pPr>
    </w:p>
    <w:p w14:paraId="5226F774" w14:textId="77777777" w:rsidR="002A025C" w:rsidRDefault="002A025C" w:rsidP="00F9404D">
      <w:pPr>
        <w:spacing w:before="0" w:beforeAutospacing="0" w:after="120" w:afterAutospacing="0"/>
      </w:pPr>
    </w:p>
    <w:p w14:paraId="40B35CCE" w14:textId="77777777" w:rsidR="00404EF8" w:rsidRDefault="00404EF8" w:rsidP="00F9404D">
      <w:pPr>
        <w:spacing w:before="0" w:beforeAutospacing="0" w:after="120" w:afterAutospacing="0"/>
      </w:pPr>
    </w:p>
    <w:p w14:paraId="548AA1D6" w14:textId="77777777" w:rsidR="00404EF8" w:rsidRDefault="00404EF8" w:rsidP="00F9404D">
      <w:pPr>
        <w:spacing w:before="0" w:beforeAutospacing="0" w:after="120" w:afterAutospacing="0"/>
      </w:pPr>
    </w:p>
    <w:p w14:paraId="7ECC8522" w14:textId="77777777" w:rsidR="00404EF8" w:rsidRDefault="00404EF8" w:rsidP="00F9404D">
      <w:pPr>
        <w:spacing w:before="0" w:beforeAutospacing="0" w:after="120" w:afterAutospacing="0"/>
      </w:pPr>
    </w:p>
    <w:p w14:paraId="59F3FE7A" w14:textId="4616A09E" w:rsidR="00404EF8" w:rsidRDefault="00B406D1" w:rsidP="00F9404D">
      <w:pPr>
        <w:spacing w:before="0" w:beforeAutospacing="0" w:after="120" w:afterAutospacing="0"/>
      </w:pPr>
      <w:r w:rsidRPr="00B406D1">
        <w:lastRenderedPageBreak/>
        <w:t>În general, 76,5%  dintre adulții români în vârstă de 15 ani sau mai mult, au auzit vreodată de țigări electronice, 11,3% le-au folosit măcar o dată, iar 3,4% au fost consumatori curenți ai acestor produse. Între adulții care au consumat măcar o dată țigări rlrctronice, vârsta medie de inițiere a fost de 31,8 ani. Principalul motiv citat pentru utilizarea țigărilor electronice (printre adulții care au folosit curent țigări electronice) au fost : "Pot fi consumate în momentele și în locurile în care fumatul de tutun nu este permis"  (63,9%), urmat de “Să renunț la fumat” (59,3%).</w:t>
      </w:r>
    </w:p>
    <w:p w14:paraId="4F65E06C" w14:textId="77777777" w:rsidR="00B406D1" w:rsidRDefault="00B406D1" w:rsidP="00B406D1">
      <w:pPr>
        <w:spacing w:before="0" w:beforeAutospacing="0" w:after="120" w:afterAutospacing="0"/>
      </w:pPr>
      <w:r>
        <w:t xml:space="preserve">Aproape un sfert (23,8%) din fumătorii de tutun (fumători curenți și foști fumători care s-au lăsat în ultimul an) au avut o tentativă de a renunța în ultimele 12 luni (24,4% intre bărbați și 22,7% dintre femei). Pe medii de porveniență, 23,1% din fumătorii din zone urbane și 24,8% dintre cei din zone rurale au încercat să se lase de fumat. </w:t>
      </w:r>
    </w:p>
    <w:p w14:paraId="125F70CB" w14:textId="77777777" w:rsidR="00B406D1" w:rsidRDefault="00B406D1" w:rsidP="00B406D1">
      <w:pPr>
        <w:spacing w:before="0" w:beforeAutospacing="0" w:after="120" w:afterAutospacing="0"/>
      </w:pPr>
      <w:r>
        <w:t xml:space="preserve">Dintre fumătorii care au fost la medic în ultimele 12 luni, 76,2% au fost întrebați despre istoricul lor privind fumatul, iar 57,1% dintre ei au fost sfătuiți de către un cadru medical să renunțe la fumat (58,5% dintre bărbații fumători și 55,4% dintre femei). Proporția celor cărora li s-a recomandat să renunțe la fumat a fost maximă pentru grupa de vârstă 65 de ani sau mai mult (60,8%) și minimă pentru grupa de vârstă 15–24 ani (38,5%). </w:t>
      </w:r>
    </w:p>
    <w:p w14:paraId="7356B5AD" w14:textId="55D2AE87" w:rsidR="00404EF8" w:rsidRDefault="00B406D1" w:rsidP="00B406D1">
      <w:pPr>
        <w:spacing w:before="0" w:beforeAutospacing="0" w:after="120" w:afterAutospacing="0"/>
      </w:pPr>
      <w:r>
        <w:t>Majoritatea respondenților care avut o tentativă de renunțare la fumat (65,9%) au declarat că au au făcut acest lucru fără ajutor, în timp ce 6,8% au folosit terapia de substituție nicotinică, 5,0% medicație pe bază de rețetă, 3,0% consiliere, 15,1% țigări electronice și 10,4% produse cu tutun încălzit.</w:t>
      </w:r>
    </w:p>
    <w:p w14:paraId="0E7E65DC" w14:textId="2E5BCE0F" w:rsidR="00B406D1" w:rsidRPr="00B406D1" w:rsidRDefault="00B406D1" w:rsidP="00B406D1">
      <w:pPr>
        <w:pStyle w:val="Caption"/>
        <w:rPr>
          <w:color w:val="auto"/>
        </w:rPr>
      </w:pPr>
      <w:r w:rsidRPr="00B406D1">
        <w:rPr>
          <w:color w:val="auto"/>
        </w:rPr>
        <w:t xml:space="preserve">Figura </w:t>
      </w:r>
      <w:r w:rsidRPr="00B406D1">
        <w:rPr>
          <w:color w:val="auto"/>
        </w:rPr>
        <w:fldChar w:fldCharType="begin"/>
      </w:r>
      <w:r w:rsidRPr="00B406D1">
        <w:rPr>
          <w:color w:val="auto"/>
        </w:rPr>
        <w:instrText xml:space="preserve"> SEQ Figura \* ARABIC </w:instrText>
      </w:r>
      <w:r w:rsidRPr="00B406D1">
        <w:rPr>
          <w:color w:val="auto"/>
        </w:rPr>
        <w:fldChar w:fldCharType="separate"/>
      </w:r>
      <w:r w:rsidR="00CA1CF9">
        <w:rPr>
          <w:noProof/>
          <w:color w:val="auto"/>
        </w:rPr>
        <w:t>2</w:t>
      </w:r>
      <w:r w:rsidRPr="00B406D1">
        <w:rPr>
          <w:color w:val="auto"/>
        </w:rPr>
        <w:fldChar w:fldCharType="end"/>
      </w:r>
      <w:r w:rsidRPr="00B406D1">
        <w:rPr>
          <w:color w:val="auto"/>
        </w:rPr>
        <w:t>. Metode de renunțare la fumat GATS România 2018</w:t>
      </w:r>
    </w:p>
    <w:p w14:paraId="1F398E6E" w14:textId="5B661C91" w:rsidR="00B406D1" w:rsidRDefault="00B406D1" w:rsidP="00B406D1">
      <w:r w:rsidRPr="00B406D1">
        <w:rPr>
          <w:noProof/>
          <w:lang w:val="en-US"/>
        </w:rPr>
        <w:drawing>
          <wp:inline distT="0" distB="0" distL="0" distR="0" wp14:anchorId="61E1A8EC" wp14:editId="0AA32705">
            <wp:extent cx="5943600" cy="3546475"/>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E50BEB4-ACA4-4A4B-96D1-0ED5C789C8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62DB1C" w14:textId="712A9503" w:rsidR="00B406D1" w:rsidRDefault="00B406D1" w:rsidP="00B406D1">
      <w:pPr>
        <w:spacing w:before="0" w:beforeAutospacing="0" w:after="120" w:afterAutospacing="0"/>
      </w:pPr>
      <w:r w:rsidRPr="00B406D1">
        <w:t xml:space="preserve">30,2% dintre fumătorii curenți au declarat că și-au propus să renunțe la fumat sau cel puțin s-au gândit să renunțe la un moment dat, în viitor (“mă voi lăsa de fumat într-o zi, dar nu în următoarele 12 luni”), 14,5% plănuiesc să renunțe în următorul an și doar 3,5% în luna următoare. Cu toate acestea, </w:t>
      </w:r>
      <w:r w:rsidRPr="00B406D1">
        <w:rPr>
          <w:b/>
          <w:bCs/>
        </w:rPr>
        <w:t>mai mult de patru din zece participanți (43,9%) au raportat că nu sunt interesați să renunțe.</w:t>
      </w:r>
    </w:p>
    <w:p w14:paraId="39DFC76D" w14:textId="6675CD35" w:rsidR="00B406D1" w:rsidRDefault="00B406D1" w:rsidP="00B406D1">
      <w:pPr>
        <w:spacing w:before="0" w:beforeAutospacing="0" w:after="120" w:afterAutospacing="0"/>
      </w:pPr>
      <w:r w:rsidRPr="00B406D1">
        <w:t>În 2018, aproape o treime (3,9%) din adulții de 15 ani sau mai mult (reprezentând aproximativ 5,8 milioane de persoane) au raportat că au fost expuși la fumului de tutun la domiciliu cel puțin lunar. Dacă lu</w:t>
      </w:r>
      <w:r>
        <w:t>ă</w:t>
      </w:r>
      <w:r w:rsidRPr="00B406D1">
        <w:t xml:space="preserve">m în considerare doar nefumătorii, prevalența </w:t>
      </w:r>
      <w:r>
        <w:t xml:space="preserve">expunerii la fumatul pasiv acasă a fost de 18,2% (2,3 milioane). Expunerea la fumatul pasiv </w:t>
      </w:r>
      <w:r>
        <w:lastRenderedPageBreak/>
        <w:t xml:space="preserve">acasă în rândul adulților care trăiesc în zonele urbane a fost de 38,1%, în timp ce printre cei care trăiesc în zonele rurale a fost de 23,9%. </w:t>
      </w:r>
    </w:p>
    <w:p w14:paraId="7E3DDFE1" w14:textId="58F26767" w:rsidR="00B406D1" w:rsidRPr="00B406D1" w:rsidRDefault="00B406D1" w:rsidP="00B406D1">
      <w:pPr>
        <w:spacing w:before="0" w:beforeAutospacing="0" w:after="120" w:afterAutospacing="0"/>
      </w:pPr>
      <w:r>
        <w:t>În rândul nefumătorilor, expunerea la fumul de tutun acasă a scăzut cu creșterea vârstei, cea mai mare rată de expunere fiind observată în rândul tinerilor din grupa de vârstă  15–24 ani (27,9%) și cea mai mică în rândul respondenților de 65 de ani și peste (11,6%).</w:t>
      </w:r>
    </w:p>
    <w:p w14:paraId="4A96008D" w14:textId="77777777" w:rsidR="008F3493" w:rsidRDefault="008F3493" w:rsidP="008F3493">
      <w:pPr>
        <w:spacing w:before="0" w:beforeAutospacing="0" w:after="120" w:afterAutospacing="0"/>
      </w:pPr>
      <w:r>
        <w:t xml:space="preserve">În general, unul din 10 adulți care lucrează în spații interioare (687 300 lucrători) au fost expuși la fum de tutun ambiental  la muncă în ultimele 30 de zile. </w:t>
      </w:r>
    </w:p>
    <w:p w14:paraId="4FE91AF5" w14:textId="4D97FBB1" w:rsidR="00B406D1" w:rsidRDefault="008F3493" w:rsidP="008F3493">
      <w:pPr>
        <w:spacing w:before="0" w:beforeAutospacing="0" w:after="120" w:afterAutospacing="0"/>
      </w:pPr>
      <w:r>
        <w:t>În plus, dintre adulții care lucrează în interior, 11,9% au fost expuși aerosolilor generați de țigări electronice și 6.9% celor generați de produsele cu tutun încălzit.</w:t>
      </w:r>
    </w:p>
    <w:p w14:paraId="66A7C5B1" w14:textId="77777777" w:rsidR="00606586" w:rsidRDefault="00606586" w:rsidP="008F3493">
      <w:pPr>
        <w:pStyle w:val="Caption"/>
        <w:rPr>
          <w:color w:val="auto"/>
          <w:sz w:val="20"/>
          <w:szCs w:val="20"/>
        </w:rPr>
      </w:pPr>
    </w:p>
    <w:p w14:paraId="5A9FA684" w14:textId="52CC1E0E" w:rsidR="008F3493" w:rsidRDefault="008F3493" w:rsidP="008F3493">
      <w:pPr>
        <w:pStyle w:val="Caption"/>
        <w:rPr>
          <w:color w:val="auto"/>
          <w:sz w:val="20"/>
          <w:szCs w:val="20"/>
        </w:rPr>
      </w:pPr>
      <w:r w:rsidRPr="008F3493">
        <w:rPr>
          <w:color w:val="auto"/>
          <w:sz w:val="20"/>
          <w:szCs w:val="20"/>
        </w:rPr>
        <w:t xml:space="preserve">Figura </w:t>
      </w:r>
      <w:r w:rsidRPr="008F3493">
        <w:rPr>
          <w:color w:val="auto"/>
          <w:sz w:val="20"/>
          <w:szCs w:val="20"/>
        </w:rPr>
        <w:fldChar w:fldCharType="begin"/>
      </w:r>
      <w:r w:rsidRPr="008F3493">
        <w:rPr>
          <w:color w:val="auto"/>
          <w:sz w:val="20"/>
          <w:szCs w:val="20"/>
        </w:rPr>
        <w:instrText xml:space="preserve"> SEQ Figura \* ARABIC </w:instrText>
      </w:r>
      <w:r w:rsidRPr="008F3493">
        <w:rPr>
          <w:color w:val="auto"/>
          <w:sz w:val="20"/>
          <w:szCs w:val="20"/>
        </w:rPr>
        <w:fldChar w:fldCharType="separate"/>
      </w:r>
      <w:r w:rsidR="00CA1CF9">
        <w:rPr>
          <w:noProof/>
          <w:color w:val="auto"/>
          <w:sz w:val="20"/>
          <w:szCs w:val="20"/>
        </w:rPr>
        <w:t>3</w:t>
      </w:r>
      <w:r w:rsidRPr="008F3493">
        <w:rPr>
          <w:color w:val="auto"/>
          <w:sz w:val="20"/>
          <w:szCs w:val="20"/>
        </w:rPr>
        <w:fldChar w:fldCharType="end"/>
      </w:r>
      <w:r w:rsidRPr="008F3493">
        <w:rPr>
          <w:color w:val="auto"/>
          <w:sz w:val="20"/>
          <w:szCs w:val="20"/>
        </w:rPr>
        <w:t xml:space="preserve">. Expunerea la fum de tutun și aerosoli </w:t>
      </w:r>
      <w:r>
        <w:rPr>
          <w:color w:val="auto"/>
          <w:sz w:val="20"/>
          <w:szCs w:val="20"/>
        </w:rPr>
        <w:t xml:space="preserve">la locul de muncă </w:t>
      </w:r>
      <w:r w:rsidRPr="008F3493">
        <w:rPr>
          <w:color w:val="auto"/>
          <w:sz w:val="20"/>
          <w:szCs w:val="20"/>
        </w:rPr>
        <w:t>în funcție de gen și status privind consumul</w:t>
      </w:r>
    </w:p>
    <w:p w14:paraId="4D580E36" w14:textId="77777777" w:rsidR="00606586" w:rsidRPr="00606586" w:rsidRDefault="00606586" w:rsidP="00606586"/>
    <w:p w14:paraId="569C85E1" w14:textId="7B197458" w:rsidR="008F3493" w:rsidRDefault="008F3493" w:rsidP="008F3493">
      <w:r w:rsidRPr="008F3493">
        <w:rPr>
          <w:noProof/>
          <w:lang w:val="en-US"/>
        </w:rPr>
        <w:drawing>
          <wp:inline distT="0" distB="0" distL="0" distR="0" wp14:anchorId="129C53A4" wp14:editId="0385595D">
            <wp:extent cx="5943600" cy="3482975"/>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89928DF-EB0A-4E94-B2A7-D273F193FB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80F090" w14:textId="77777777" w:rsidR="00606586" w:rsidRDefault="00606586" w:rsidP="00606586">
      <w:pPr>
        <w:pStyle w:val="Caption"/>
        <w:spacing w:before="100" w:after="100"/>
        <w:rPr>
          <w:color w:val="auto"/>
          <w:sz w:val="20"/>
          <w:szCs w:val="20"/>
        </w:rPr>
      </w:pPr>
    </w:p>
    <w:p w14:paraId="5D99916A" w14:textId="77777777" w:rsidR="00606586" w:rsidRDefault="00606586" w:rsidP="00606586">
      <w:pPr>
        <w:pStyle w:val="Caption"/>
        <w:spacing w:before="100" w:after="100"/>
        <w:rPr>
          <w:color w:val="auto"/>
          <w:sz w:val="20"/>
          <w:szCs w:val="20"/>
        </w:rPr>
      </w:pPr>
    </w:p>
    <w:p w14:paraId="59572AA7" w14:textId="55E5A996" w:rsidR="00B03734" w:rsidRDefault="00B03734" w:rsidP="00606586">
      <w:pPr>
        <w:pStyle w:val="Caption"/>
        <w:spacing w:before="100" w:after="100"/>
      </w:pPr>
      <w:r w:rsidRPr="00B03734">
        <w:rPr>
          <w:color w:val="auto"/>
          <w:sz w:val="20"/>
          <w:szCs w:val="20"/>
        </w:rPr>
        <w:lastRenderedPageBreak/>
        <w:t xml:space="preserve">Figura </w:t>
      </w:r>
      <w:r w:rsidRPr="00B03734">
        <w:rPr>
          <w:color w:val="auto"/>
          <w:sz w:val="20"/>
          <w:szCs w:val="20"/>
        </w:rPr>
        <w:fldChar w:fldCharType="begin"/>
      </w:r>
      <w:r w:rsidRPr="00B03734">
        <w:rPr>
          <w:color w:val="auto"/>
          <w:sz w:val="20"/>
          <w:szCs w:val="20"/>
        </w:rPr>
        <w:instrText xml:space="preserve"> SEQ Figura \* ARABIC </w:instrText>
      </w:r>
      <w:r w:rsidRPr="00B03734">
        <w:rPr>
          <w:color w:val="auto"/>
          <w:sz w:val="20"/>
          <w:szCs w:val="20"/>
        </w:rPr>
        <w:fldChar w:fldCharType="separate"/>
      </w:r>
      <w:r w:rsidR="00CA1CF9">
        <w:rPr>
          <w:noProof/>
          <w:color w:val="auto"/>
          <w:sz w:val="20"/>
          <w:szCs w:val="20"/>
        </w:rPr>
        <w:t>4</w:t>
      </w:r>
      <w:r w:rsidRPr="00B03734">
        <w:rPr>
          <w:color w:val="auto"/>
          <w:sz w:val="20"/>
          <w:szCs w:val="20"/>
        </w:rPr>
        <w:fldChar w:fldCharType="end"/>
      </w:r>
      <w:r w:rsidRPr="00B03734">
        <w:rPr>
          <w:color w:val="auto"/>
          <w:sz w:val="20"/>
          <w:szCs w:val="20"/>
        </w:rPr>
        <w:t>. Expunerea la fum de tutun sau aerosoli în diverse locuri vizitate în ultimele 30 de zile</w:t>
      </w:r>
      <w:r w:rsidRPr="00B03734">
        <w:rPr>
          <w:noProof/>
          <w:lang w:val="en-US"/>
        </w:rPr>
        <w:drawing>
          <wp:inline distT="0" distB="0" distL="0" distR="0" wp14:anchorId="1EDD20FE" wp14:editId="23999494">
            <wp:extent cx="5943600" cy="3057525"/>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5973A9-92C5-484A-AC85-7742CA5D85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027FB5" w14:textId="74D50302" w:rsidR="00B03734" w:rsidRDefault="00B03734" w:rsidP="00B03734">
      <w:pPr>
        <w:spacing w:before="0" w:beforeAutospacing="0" w:after="120" w:afterAutospacing="0"/>
      </w:pPr>
      <w:r>
        <w:t xml:space="preserve">În general, între adulții care fumează curent țigări fabricate, 89,4% le-au cumpărat ultima dată din magazine și 5,9% de la chioșcuri. Foarte puțini fumători de țigări fabricate și le-au procurat de la o altă persoană (2,0%) sau din alte surse (1,0%). </w:t>
      </w:r>
    </w:p>
    <w:p w14:paraId="1A91505A" w14:textId="250B1566" w:rsidR="00B03734" w:rsidRDefault="00B03734" w:rsidP="00B03734">
      <w:pPr>
        <w:spacing w:before="0" w:beforeAutospacing="0" w:after="120" w:afterAutospacing="0"/>
      </w:pPr>
      <w:r>
        <w:t>Cele cinci mărci mai frecvent achiziționate au fost Kent (23.9%), Pall Mall (21.3%), Winston (12.8%), Dunhill (10.3%) and Marlboro (7.3%). În medie, un fumător curent a cheltuit lunar 482,6 RON (aproximativ 110 dolari) pentru procurarea țigărilor. Costul a 100 de pachete de țigări fabricate, ca</w:t>
      </w:r>
      <w:r w:rsidRPr="00B03734">
        <w:t xml:space="preserve"> procent din PIB pe cap de locuitor în 2018, a fost de 4,5%. </w:t>
      </w:r>
    </w:p>
    <w:p w14:paraId="5E1B63E8" w14:textId="77777777" w:rsidR="00B03734" w:rsidRPr="00417DB8" w:rsidRDefault="00B03734" w:rsidP="00B03734">
      <w:pPr>
        <w:pStyle w:val="Default"/>
        <w:spacing w:after="120"/>
        <w:jc w:val="both"/>
        <w:rPr>
          <w:rFonts w:asciiTheme="minorHAnsi" w:hAnsiTheme="minorHAnsi" w:cstheme="minorHAnsi"/>
          <w:b/>
          <w:color w:val="99CC00"/>
          <w:sz w:val="22"/>
          <w:szCs w:val="22"/>
          <w:lang w:val="ro-RO"/>
        </w:rPr>
      </w:pPr>
      <w:r>
        <w:rPr>
          <w:rFonts w:asciiTheme="minorHAnsi" w:hAnsiTheme="minorHAnsi" w:cstheme="minorHAnsi"/>
          <w:sz w:val="22"/>
          <w:szCs w:val="22"/>
          <w:lang w:val="ro-RO"/>
        </w:rPr>
        <w:t>Aproape toți respondenții</w:t>
      </w:r>
      <w:r w:rsidRPr="00417DB8">
        <w:rPr>
          <w:rFonts w:asciiTheme="minorHAnsi" w:hAnsiTheme="minorHAnsi" w:cstheme="minorHAnsi"/>
          <w:sz w:val="22"/>
          <w:szCs w:val="22"/>
          <w:lang w:val="ro-RO"/>
        </w:rPr>
        <w:t xml:space="preserve"> (90</w:t>
      </w:r>
      <w:r>
        <w:rPr>
          <w:rFonts w:asciiTheme="minorHAnsi" w:hAnsiTheme="minorHAnsi" w:cstheme="minorHAnsi"/>
          <w:sz w:val="22"/>
          <w:szCs w:val="22"/>
          <w:lang w:val="ro-RO"/>
        </w:rPr>
        <w:t>,</w:t>
      </w:r>
      <w:r w:rsidRPr="00417DB8">
        <w:rPr>
          <w:rFonts w:asciiTheme="minorHAnsi" w:hAnsiTheme="minorHAnsi" w:cstheme="minorHAnsi"/>
          <w:sz w:val="22"/>
          <w:szCs w:val="22"/>
          <w:lang w:val="ro-RO"/>
        </w:rPr>
        <w:t xml:space="preserve">6%) </w:t>
      </w:r>
      <w:r>
        <w:rPr>
          <w:rFonts w:asciiTheme="minorHAnsi" w:hAnsiTheme="minorHAnsi" w:cstheme="minorHAnsi"/>
          <w:sz w:val="22"/>
          <w:szCs w:val="22"/>
          <w:lang w:val="ro-RO"/>
        </w:rPr>
        <w:t xml:space="preserve">au considerat </w:t>
      </w:r>
      <w:r w:rsidRPr="00465DFB">
        <w:rPr>
          <w:rFonts w:asciiTheme="minorHAnsi" w:hAnsiTheme="minorHAnsi" w:cstheme="minorHAnsi"/>
          <w:sz w:val="22"/>
          <w:szCs w:val="22"/>
          <w:lang w:val="ro-RO"/>
        </w:rPr>
        <w:t>că fumatul cauzează afecțiuni grave</w:t>
      </w:r>
      <w:r>
        <w:rPr>
          <w:rFonts w:asciiTheme="minorHAnsi" w:hAnsiTheme="minorHAnsi" w:cstheme="minorHAnsi"/>
          <w:sz w:val="22"/>
          <w:szCs w:val="22"/>
          <w:lang w:val="ro-RO"/>
        </w:rPr>
        <w:t xml:space="preserve">. </w:t>
      </w:r>
      <w:r w:rsidRPr="00417DB8">
        <w:rPr>
          <w:rFonts w:asciiTheme="minorHAnsi" w:hAnsiTheme="minorHAnsi" w:cstheme="minorHAnsi"/>
          <w:sz w:val="22"/>
          <w:szCs w:val="22"/>
          <w:lang w:val="ro-RO"/>
        </w:rPr>
        <w:t xml:space="preserve"> </w:t>
      </w:r>
      <w:r w:rsidRPr="00CD6EE1">
        <w:rPr>
          <w:rFonts w:asciiTheme="minorHAnsi" w:hAnsiTheme="minorHAnsi" w:cstheme="minorHAnsi"/>
          <w:sz w:val="22"/>
          <w:szCs w:val="22"/>
          <w:lang w:val="ro-RO"/>
        </w:rPr>
        <w:t xml:space="preserve">91,5% </w:t>
      </w:r>
      <w:r>
        <w:rPr>
          <w:rFonts w:asciiTheme="minorHAnsi" w:hAnsiTheme="minorHAnsi" w:cstheme="minorHAnsi"/>
          <w:sz w:val="22"/>
          <w:szCs w:val="22"/>
          <w:lang w:val="ro-RO"/>
        </w:rPr>
        <w:t>din populația studiată au indicat faptul că</w:t>
      </w:r>
      <w:r w:rsidRPr="00CD6EE1">
        <w:rPr>
          <w:rFonts w:asciiTheme="minorHAnsi" w:hAnsiTheme="minorHAnsi" w:cstheme="minorHAnsi"/>
          <w:sz w:val="22"/>
          <w:szCs w:val="22"/>
          <w:lang w:val="ro-RO"/>
        </w:rPr>
        <w:t xml:space="preserve"> fumatul cauzează cancer pulmonar, 78% emfizem, 74,8% accident vascular cerebral și 74,5% atac de cord</w:t>
      </w:r>
      <w:r w:rsidRPr="00417DB8">
        <w:rPr>
          <w:rFonts w:asciiTheme="minorHAnsi" w:hAnsiTheme="minorHAnsi" w:cstheme="minorHAnsi"/>
          <w:sz w:val="22"/>
          <w:szCs w:val="22"/>
          <w:lang w:val="ro-RO"/>
        </w:rPr>
        <w:t xml:space="preserve">. </w:t>
      </w:r>
    </w:p>
    <w:p w14:paraId="036CAA64" w14:textId="5BD4A168" w:rsidR="008F3493" w:rsidRPr="008F3493" w:rsidRDefault="00B03734" w:rsidP="00B03734">
      <w:pPr>
        <w:spacing w:before="0" w:beforeAutospacing="0" w:after="120" w:afterAutospacing="0"/>
      </w:pPr>
      <w:r w:rsidRPr="00CD6EE1">
        <w:rPr>
          <w:rFonts w:asciiTheme="minorHAnsi" w:hAnsiTheme="minorHAnsi" w:cstheme="minorHAnsi"/>
        </w:rPr>
        <w:t>În general, 86,0% dintre adulți</w:t>
      </w:r>
      <w:r>
        <w:rPr>
          <w:rFonts w:asciiTheme="minorHAnsi" w:hAnsiTheme="minorHAnsi" w:cstheme="minorHAnsi"/>
        </w:rPr>
        <w:t>i cu vârsta de 15 ani sau mai mult</w:t>
      </w:r>
      <w:r w:rsidRPr="00CD6EE1">
        <w:rPr>
          <w:rFonts w:asciiTheme="minorHAnsi" w:hAnsiTheme="minorHAnsi" w:cstheme="minorHAnsi"/>
        </w:rPr>
        <w:t xml:space="preserve"> </w:t>
      </w:r>
      <w:r>
        <w:rPr>
          <w:rFonts w:asciiTheme="minorHAnsi" w:hAnsiTheme="minorHAnsi" w:cstheme="minorHAnsi"/>
        </w:rPr>
        <w:t xml:space="preserve">au răspuns </w:t>
      </w:r>
      <w:r w:rsidRPr="00CD6EE1">
        <w:rPr>
          <w:rFonts w:asciiTheme="minorHAnsi" w:hAnsiTheme="minorHAnsi" w:cstheme="minorHAnsi"/>
        </w:rPr>
        <w:t>că fumatul pasiv cauzează boli grave nefumători</w:t>
      </w:r>
      <w:r>
        <w:rPr>
          <w:rFonts w:asciiTheme="minorHAnsi" w:hAnsiTheme="minorHAnsi" w:cstheme="minorHAnsi"/>
        </w:rPr>
        <w:t>lor. F</w:t>
      </w:r>
      <w:r w:rsidRPr="00CD6EE1">
        <w:rPr>
          <w:rFonts w:asciiTheme="minorHAnsi" w:hAnsiTheme="minorHAnsi" w:cstheme="minorHAnsi"/>
        </w:rPr>
        <w:t xml:space="preserve">umătorii </w:t>
      </w:r>
      <w:r>
        <w:rPr>
          <w:rFonts w:asciiTheme="minorHAnsi" w:hAnsiTheme="minorHAnsi" w:cstheme="minorHAnsi"/>
        </w:rPr>
        <w:t>curenți</w:t>
      </w:r>
      <w:r w:rsidRPr="00CD6EE1">
        <w:rPr>
          <w:rFonts w:asciiTheme="minorHAnsi" w:hAnsiTheme="minorHAnsi" w:cstheme="minorHAnsi"/>
        </w:rPr>
        <w:t xml:space="preserve"> </w:t>
      </w:r>
      <w:r>
        <w:rPr>
          <w:rFonts w:asciiTheme="minorHAnsi" w:hAnsiTheme="minorHAnsi" w:cstheme="minorHAnsi"/>
        </w:rPr>
        <w:t>(</w:t>
      </w:r>
      <w:r w:rsidRPr="00CD6EE1">
        <w:rPr>
          <w:rFonts w:asciiTheme="minorHAnsi" w:hAnsiTheme="minorHAnsi" w:cstheme="minorHAnsi"/>
        </w:rPr>
        <w:t>81,1%</w:t>
      </w:r>
      <w:r>
        <w:rPr>
          <w:rFonts w:asciiTheme="minorHAnsi" w:hAnsiTheme="minorHAnsi" w:cstheme="minorHAnsi"/>
        </w:rPr>
        <w:t>)</w:t>
      </w:r>
      <w:r w:rsidRPr="00CD6EE1">
        <w:rPr>
          <w:rFonts w:asciiTheme="minorHAnsi" w:hAnsiTheme="minorHAnsi" w:cstheme="minorHAnsi"/>
        </w:rPr>
        <w:t xml:space="preserve">, au crezut acest lucru într-o proporție mai mică decât nefumătorii </w:t>
      </w:r>
      <w:r>
        <w:rPr>
          <w:rFonts w:asciiTheme="minorHAnsi" w:hAnsiTheme="minorHAnsi" w:cstheme="minorHAnsi"/>
        </w:rPr>
        <w:t>(</w:t>
      </w:r>
      <w:r w:rsidRPr="00CD6EE1">
        <w:rPr>
          <w:rFonts w:asciiTheme="minorHAnsi" w:hAnsiTheme="minorHAnsi" w:cstheme="minorHAnsi"/>
        </w:rPr>
        <w:t>88,1%).</w:t>
      </w:r>
    </w:p>
    <w:p w14:paraId="09F04E37" w14:textId="77777777" w:rsidR="00B03734" w:rsidRDefault="00B03734" w:rsidP="00B03734">
      <w:pPr>
        <w:spacing w:before="0" w:beforeAutospacing="0" w:after="120" w:afterAutospacing="0"/>
      </w:pPr>
      <w:r>
        <w:t xml:space="preserve">Per total, 47,0% dintre adulți (44,0% bărbați și 50,7% femei) au considerat că inhalarea aerosolilor proveniți de la produsele cu tutun încălzit ale altora cauzează boli grave în rândul nefumătorilor. </w:t>
      </w:r>
    </w:p>
    <w:p w14:paraId="754EB5B7" w14:textId="77777777" w:rsidR="00D71D5D" w:rsidRDefault="00B03734" w:rsidP="00B03734">
      <w:pPr>
        <w:spacing w:before="0" w:beforeAutospacing="0" w:after="120" w:afterAutospacing="0"/>
      </w:pPr>
      <w:r>
        <w:t>51.4% dintre respondenți (48,5% dintre bărbați și 54,3% dintre femei) răspuns că inhalarea aerosolilor generați de țigările electronice ale altora cauzează boli grave în rândul nefumătorilor.</w:t>
      </w:r>
    </w:p>
    <w:p w14:paraId="25301950" w14:textId="77777777" w:rsidR="00D71D5D" w:rsidRDefault="00D71D5D" w:rsidP="00B03734">
      <w:pPr>
        <w:spacing w:before="0" w:beforeAutospacing="0" w:after="120" w:afterAutospacing="0"/>
        <w:rPr>
          <w:b/>
          <w:bCs/>
          <w:i/>
          <w:iCs/>
        </w:rPr>
      </w:pPr>
    </w:p>
    <w:p w14:paraId="7EC64F65" w14:textId="31DECBF5" w:rsidR="00D71D5D" w:rsidRDefault="00D71D5D" w:rsidP="00B03734">
      <w:pPr>
        <w:spacing w:before="0" w:beforeAutospacing="0" w:after="120" w:afterAutospacing="0"/>
        <w:rPr>
          <w:b/>
          <w:bCs/>
          <w:i/>
          <w:iCs/>
        </w:rPr>
      </w:pPr>
      <w:bookmarkStart w:id="1" w:name="_Hlk24611194"/>
      <w:r>
        <w:rPr>
          <w:b/>
          <w:bCs/>
          <w:i/>
          <w:iCs/>
        </w:rPr>
        <w:t>Evoluția indicatorilor privind consumul</w:t>
      </w:r>
      <w:r w:rsidR="00A27DBA">
        <w:rPr>
          <w:b/>
          <w:bCs/>
          <w:i/>
          <w:iCs/>
        </w:rPr>
        <w:t xml:space="preserve"> </w:t>
      </w:r>
      <w:r>
        <w:rPr>
          <w:b/>
          <w:bCs/>
          <w:i/>
          <w:iCs/>
        </w:rPr>
        <w:t>de tutun între anii 2011 și 2018</w:t>
      </w:r>
      <w:r w:rsidR="00A27DBA">
        <w:rPr>
          <w:b/>
          <w:bCs/>
          <w:i/>
          <w:iCs/>
        </w:rPr>
        <w:t xml:space="preserve"> conform GATS</w:t>
      </w:r>
    </w:p>
    <w:bookmarkEnd w:id="1"/>
    <w:p w14:paraId="5212DEB0" w14:textId="07AC790A" w:rsidR="00D71D5D" w:rsidRDefault="00D71D5D" w:rsidP="00D71D5D">
      <w:pPr>
        <w:spacing w:before="0" w:beforeAutospacing="0" w:after="120" w:afterAutospacing="0"/>
      </w:pPr>
      <w:r>
        <w:t xml:space="preserve">În România, </w:t>
      </w:r>
      <w:r w:rsidRPr="00D71D5D">
        <w:rPr>
          <w:b/>
          <w:bCs/>
        </w:rPr>
        <w:t>consumul curent de tutun</w:t>
      </w:r>
      <w:r>
        <w:t xml:space="preserve"> (pentru fumat, fără fum și/sau produse cu tutun încălzit) a crescut semnificativ de la 26,8% în 2011 la 30,7% în 2018, aceasta reprezentând o </w:t>
      </w:r>
      <w:r w:rsidRPr="00D71D5D">
        <w:rPr>
          <w:b/>
          <w:bCs/>
        </w:rPr>
        <w:t>creștere relativă de 14,9%.</w:t>
      </w:r>
      <w:r>
        <w:t xml:space="preserve"> </w:t>
      </w:r>
    </w:p>
    <w:p w14:paraId="4E0F0A83" w14:textId="26541F36" w:rsidR="00D71D5D" w:rsidRDefault="00D71D5D" w:rsidP="00D71D5D">
      <w:pPr>
        <w:spacing w:before="0" w:beforeAutospacing="0" w:after="120" w:afterAutospacing="0"/>
      </w:pPr>
      <w:r>
        <w:t xml:space="preserve">Prevalența fumătorilor curenți a fost semnificativ mai mare în anul 2018, pentru populația generală (30,2 în 2018 față de 26,7% în 2011), în rândul </w:t>
      </w:r>
      <w:r w:rsidRPr="00D71D5D">
        <w:rPr>
          <w:b/>
          <w:bCs/>
        </w:rPr>
        <w:t>femeilor</w:t>
      </w:r>
      <w:r>
        <w:t xml:space="preserve"> (21,2% în 2018 vs. 16,7% în 2011, </w:t>
      </w:r>
      <w:r w:rsidRPr="00D71D5D">
        <w:rPr>
          <w:b/>
          <w:bCs/>
        </w:rPr>
        <w:t>creștere relativă de</w:t>
      </w:r>
      <w:r>
        <w:t xml:space="preserve"> </w:t>
      </w:r>
      <w:r w:rsidRPr="00D71D5D">
        <w:rPr>
          <w:b/>
          <w:bCs/>
        </w:rPr>
        <w:t>27,0%,</w:t>
      </w:r>
      <w:r>
        <w:t xml:space="preserve">) și în în rândul </w:t>
      </w:r>
      <w:r w:rsidRPr="00D71D5D">
        <w:rPr>
          <w:b/>
          <w:bCs/>
        </w:rPr>
        <w:t>adulților tineri</w:t>
      </w:r>
      <w:r>
        <w:t xml:space="preserve">, 15-24 ani (33,5% în 2018 vs. 22,6% în 2011, cu o </w:t>
      </w:r>
      <w:r w:rsidRPr="00D71D5D">
        <w:rPr>
          <w:b/>
          <w:bCs/>
        </w:rPr>
        <w:t>creștere relativă de 48,3%</w:t>
      </w:r>
      <w:r>
        <w:t xml:space="preserve">). Prevalența fumatului zilnic de tutun a crescut de la 24,3% în 2011 la 27,4% în 2018 (o creștere relativă de 12,5%). </w:t>
      </w:r>
    </w:p>
    <w:p w14:paraId="32132B11" w14:textId="33EBF89D" w:rsidR="00D71D5D" w:rsidRDefault="00D71D5D" w:rsidP="00D71D5D">
      <w:pPr>
        <w:spacing w:before="0" w:beforeAutospacing="0" w:after="120" w:afterAutospacing="0"/>
      </w:pPr>
      <w:r>
        <w:lastRenderedPageBreak/>
        <w:t>Vârsta medie de inițiere a fumatului zilnic în rândul celor cu vârste cuprinse între 20-34 ani care sunt sau au fost fumători zilnici, a crescut semnificativ de la 17,1 ani în 2011 la 17,9 ani în 2018.</w:t>
      </w:r>
    </w:p>
    <w:p w14:paraId="0175C3A8" w14:textId="2362D180" w:rsidR="00D71D5D" w:rsidRDefault="00D71D5D" w:rsidP="00D71D5D">
      <w:pPr>
        <w:spacing w:before="0" w:beforeAutospacing="0" w:after="120" w:afterAutospacing="0"/>
      </w:pPr>
      <w:r>
        <w:t>Prevalența expunerii la fumul de tutun Ambiental (fumatul pasiv) a scăzut semnificativ între 2011 și 2018. Procentul de adulți expuși la fumatul pasiv acasă a scăzut semnificativ de la 35,4% în 2011 la 31,9% în 2018, cu o scădere relativă de 9,7%. În rândul nefumătorilor, tendința a fost și mai evidentă de la 24,4% în 2011 la 18,2% în 2018 (o scădere relativă de 25,7%). Procentul de adulți expuși la fumatul pasiv la locul de muncă a scăzut semnificativ de la 34,2% în 2011 la 10,1% în 2018 (o scădere relativă de 70,5%). Expunerea la fumatul pasiv în rândul celor care au vizitat diferite locuri publice a scăzut semnificativ: în clădirile guvernamentale de la 20,7% la 6,4% (scădere relativă de 68,9%), în restaurante de la 86,6% la 7,5% (scădere relativă de 91,3%), în baruri și cluburi de noapte de la 94,4% la 27,5%) (scădere relativă de 70,9%), în școli de la 25,1% la 12,9% (scădere relativă de 48,6%), în universități de la 47,5% la 28,7% (scădere relativă de 39,6%), în mijloace de transport în comun de la 8,9% la 4,2% (scădere relativă de 53,4%).</w:t>
      </w:r>
    </w:p>
    <w:p w14:paraId="1DDFB4AA" w14:textId="7F72314C" w:rsidR="00D71D5D" w:rsidRDefault="00D71D5D" w:rsidP="00D71D5D">
      <w:pPr>
        <w:spacing w:before="0" w:beforeAutospacing="0" w:after="120" w:afterAutospacing="0"/>
      </w:pPr>
      <w:r w:rsidRPr="00D71D5D">
        <w:rPr>
          <w:b/>
          <w:bCs/>
        </w:rPr>
        <w:t>Procentul de fumători sfătuiți de către furnizorii de asistență medicală să renunțe la fumat a scăzut semnificativ de la 67,3% în 2011 la 57,1% în 2018, (scădere relativă de 15,1%).</w:t>
      </w:r>
      <w:r>
        <w:t xml:space="preserve"> Aceeași tendință a fost observată în cazul tentativelor de renunțare la fumat (37,8% dintre fumătorii curenți au avut o tentative de renunțare la fumat în 2011, comparativ cu 23,8% în 2018). </w:t>
      </w:r>
    </w:p>
    <w:p w14:paraId="2A228CD1" w14:textId="5ADA3934" w:rsidR="00D71D5D" w:rsidRDefault="00D71D5D" w:rsidP="00D71D5D">
      <w:pPr>
        <w:spacing w:before="0" w:beforeAutospacing="0" w:after="120" w:afterAutospacing="0"/>
      </w:pPr>
      <w:r>
        <w:t xml:space="preserve">Procentul de adulți care au observat avertismente de sănătate de pe pachetele de țigări a scăzut semnificativ de la 97,9% în 2011 la 94,8% în 2018. Cu toate acestea, procentul de adulți care s-au gândit să renunțe la fumat datorită acestor avertismente a scăzut semnificativ de la doar 30,6% în 2011 la 21,9% în 2018 (scădere relativă de 28,3%). </w:t>
      </w:r>
    </w:p>
    <w:p w14:paraId="0A80EF9B" w14:textId="00D15ED4" w:rsidR="00D71D5D" w:rsidRDefault="00D71D5D" w:rsidP="00D71D5D">
      <w:pPr>
        <w:spacing w:before="0" w:beforeAutospacing="0" w:after="120" w:afterAutospacing="0"/>
      </w:pPr>
      <w:r>
        <w:t xml:space="preserve">În 2018, doar 86,0% dintre adulți au considerat că inhalarea fumului de tutun al altora cauzează boli grave în rândul nefumătorilor, comparative cu  94.2% în 2011. </w:t>
      </w:r>
    </w:p>
    <w:p w14:paraId="0F74B596" w14:textId="7B2FA3CF" w:rsidR="00D71D5D" w:rsidRDefault="00D71D5D" w:rsidP="00D71D5D">
      <w:pPr>
        <w:spacing w:before="0" w:beforeAutospacing="0" w:after="120" w:afterAutospacing="0"/>
      </w:pPr>
      <w:r>
        <w:t>Expunerea la orice formă de reclamă, promovare sau sponsorizare pentru țigări a scăzut de la 37,7% în 2011 la 36,4% în 2018. Deși această tendință a fost observată la toate grupele de vârstă, proporția adulților tineri (15-24 ani) rămâne ridicată (48,7%).</w:t>
      </w:r>
    </w:p>
    <w:p w14:paraId="1BD5D14B" w14:textId="6DAC3043" w:rsidR="00D71D5D" w:rsidRPr="00D71D5D" w:rsidRDefault="00D71D5D" w:rsidP="00D71D5D">
      <w:pPr>
        <w:spacing w:before="0" w:beforeAutospacing="0" w:after="120" w:afterAutospacing="0"/>
      </w:pPr>
      <w:r>
        <w:t>Cheltuielile medii lunare ale fumătorilor curenți de țigări fabricate au crescut semnificativ de la 325,8 RON în 2011 la 482,6 RON în 2018. Prețul mediu ajustat pentru un pachet de 20 de țigări a crescut de la 13,6 RON la 16,8 RON (creștere relativă de 23,4%). Accesibilitatea țigărilor, însă, nu a suferit modificări: costul a 100 de pachete de țigarete fabricate, în procente din PIB pe cap de locuitor, a fost constant din 2011 până în 2018 (4,5%).</w:t>
      </w:r>
    </w:p>
    <w:p w14:paraId="1F7A3FA7" w14:textId="2FE8A3E3" w:rsidR="0086028D" w:rsidRDefault="0086028D" w:rsidP="00B03734">
      <w:pPr>
        <w:spacing w:before="0" w:beforeAutospacing="0" w:after="120" w:afterAutospacing="0"/>
      </w:pPr>
    </w:p>
    <w:p w14:paraId="0AE41A7A" w14:textId="54F8B301" w:rsidR="0086028D" w:rsidRDefault="00CA1EEE" w:rsidP="00B03734">
      <w:pPr>
        <w:spacing w:before="0" w:beforeAutospacing="0" w:after="120" w:afterAutospacing="0"/>
        <w:rPr>
          <w:b/>
          <w:bCs/>
        </w:rPr>
      </w:pPr>
      <w:r>
        <w:rPr>
          <w:b/>
          <w:bCs/>
        </w:rPr>
        <w:t>CONSUMUL DE TUTUN LA COPII ȘI ADOLESCENȚI</w:t>
      </w:r>
    </w:p>
    <w:p w14:paraId="25E12FDF" w14:textId="77777777" w:rsidR="005E67D2" w:rsidRDefault="005E67D2" w:rsidP="005E67D2">
      <w:pPr>
        <w:spacing w:before="0" w:beforeAutospacing="0" w:after="120" w:afterAutospacing="0"/>
      </w:pPr>
      <w:r>
        <w:t>În România se poate observa o evoluție constantă din anul 2005/2006 (12%) până în anul 2017/2018 (19,88%) a frecvenței fetelor de 15 ani care fumează cel puțin o dată pe săptămână. Comparativ cu anul 2015-2016 (27,14%) la băieți se înregistrează o evoluție descendentă a frecvenței băieților de 15 ani (24,67%) care raportează acest comportament.</w:t>
      </w:r>
    </w:p>
    <w:p w14:paraId="676C65D3" w14:textId="77777777" w:rsidR="00606586" w:rsidRDefault="00606586" w:rsidP="00606586">
      <w:pPr>
        <w:pStyle w:val="Caption"/>
        <w:spacing w:before="100" w:after="100"/>
        <w:rPr>
          <w:color w:val="auto"/>
          <w:sz w:val="20"/>
          <w:szCs w:val="20"/>
        </w:rPr>
      </w:pPr>
    </w:p>
    <w:p w14:paraId="2CCF4044" w14:textId="52C2EE4E" w:rsidR="005E67D2" w:rsidRDefault="005E67D2" w:rsidP="005E67D2">
      <w:pPr>
        <w:pStyle w:val="Caption"/>
        <w:rPr>
          <w:color w:val="auto"/>
          <w:sz w:val="20"/>
          <w:szCs w:val="20"/>
        </w:rPr>
      </w:pPr>
      <w:r w:rsidRPr="005E67D2">
        <w:rPr>
          <w:color w:val="auto"/>
          <w:sz w:val="20"/>
          <w:szCs w:val="20"/>
        </w:rPr>
        <w:t xml:space="preserve">Figura </w:t>
      </w:r>
      <w:r w:rsidRPr="005E67D2">
        <w:rPr>
          <w:color w:val="auto"/>
          <w:sz w:val="20"/>
          <w:szCs w:val="20"/>
        </w:rPr>
        <w:fldChar w:fldCharType="begin"/>
      </w:r>
      <w:r w:rsidRPr="005E67D2">
        <w:rPr>
          <w:color w:val="auto"/>
          <w:sz w:val="20"/>
          <w:szCs w:val="20"/>
        </w:rPr>
        <w:instrText xml:space="preserve"> SEQ Figura \* ARABIC </w:instrText>
      </w:r>
      <w:r w:rsidRPr="005E67D2">
        <w:rPr>
          <w:color w:val="auto"/>
          <w:sz w:val="20"/>
          <w:szCs w:val="20"/>
        </w:rPr>
        <w:fldChar w:fldCharType="separate"/>
      </w:r>
      <w:r w:rsidR="00CA1CF9">
        <w:rPr>
          <w:noProof/>
          <w:color w:val="auto"/>
          <w:sz w:val="20"/>
          <w:szCs w:val="20"/>
        </w:rPr>
        <w:t>5</w:t>
      </w:r>
      <w:r w:rsidRPr="005E67D2">
        <w:rPr>
          <w:color w:val="auto"/>
          <w:sz w:val="20"/>
          <w:szCs w:val="20"/>
        </w:rPr>
        <w:fldChar w:fldCharType="end"/>
      </w:r>
      <w:r w:rsidRPr="005E67D2">
        <w:rPr>
          <w:color w:val="auto"/>
          <w:sz w:val="20"/>
          <w:szCs w:val="20"/>
        </w:rPr>
        <w:t>. Evoluția frecvenței elevilor de 15 ani din România care furmează cel puțin o dată pe săptămână</w:t>
      </w:r>
    </w:p>
    <w:p w14:paraId="72D7A80C" w14:textId="70FCE030" w:rsidR="005E67D2" w:rsidRDefault="002A6F6E" w:rsidP="002A6F6E">
      <w:pPr>
        <w:spacing w:before="0" w:beforeAutospacing="0" w:after="0" w:afterAutospacing="0"/>
        <w:jc w:val="center"/>
      </w:pPr>
      <w:r w:rsidRPr="002A6F6E">
        <w:rPr>
          <w:noProof/>
          <w:lang w:val="en-US"/>
        </w:rPr>
        <w:lastRenderedPageBreak/>
        <w:drawing>
          <wp:inline distT="0" distB="0" distL="0" distR="0" wp14:anchorId="6F525970" wp14:editId="79361FB6">
            <wp:extent cx="5105400" cy="185888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2524" cy="1865124"/>
                    </a:xfrm>
                    <a:prstGeom prst="rect">
                      <a:avLst/>
                    </a:prstGeom>
                    <a:noFill/>
                    <a:ln>
                      <a:noFill/>
                    </a:ln>
                  </pic:spPr>
                </pic:pic>
              </a:graphicData>
            </a:graphic>
          </wp:inline>
        </w:drawing>
      </w:r>
    </w:p>
    <w:p w14:paraId="3031862D" w14:textId="151ED675" w:rsidR="002A6F6E" w:rsidRPr="002A6F6E" w:rsidRDefault="002A6F6E" w:rsidP="002A6F6E">
      <w:pPr>
        <w:spacing w:before="0" w:beforeAutospacing="0" w:after="120" w:afterAutospacing="0"/>
        <w:rPr>
          <w:i/>
          <w:iCs/>
          <w:sz w:val="18"/>
          <w:szCs w:val="18"/>
        </w:rPr>
      </w:pPr>
      <w:r w:rsidRPr="002A6F6E">
        <w:rPr>
          <w:i/>
          <w:iCs/>
          <w:sz w:val="18"/>
          <w:szCs w:val="18"/>
        </w:rPr>
        <w:t>Sursa:</w:t>
      </w:r>
      <w:r w:rsidRPr="002A6F6E">
        <w:rPr>
          <w:sz w:val="18"/>
          <w:szCs w:val="18"/>
        </w:rPr>
        <w:t xml:space="preserve"> </w:t>
      </w:r>
      <w:r w:rsidRPr="002A6F6E">
        <w:rPr>
          <w:i/>
          <w:iCs/>
          <w:sz w:val="18"/>
          <w:szCs w:val="18"/>
        </w:rPr>
        <w:t>Sinteza Națională privind Comportamentele cu Risc la Adolescenți, CRSP Clu</w:t>
      </w:r>
      <w:r>
        <w:rPr>
          <w:i/>
          <w:iCs/>
          <w:sz w:val="18"/>
          <w:szCs w:val="18"/>
        </w:rPr>
        <w:t>j</w:t>
      </w:r>
    </w:p>
    <w:p w14:paraId="38947FA1" w14:textId="6EDF5C8D" w:rsidR="0086028D" w:rsidRDefault="0086028D" w:rsidP="002A6F6E">
      <w:pPr>
        <w:spacing w:before="0" w:beforeAutospacing="0" w:after="120" w:afterAutospacing="0"/>
      </w:pPr>
      <w:r w:rsidRPr="002A6F6E">
        <w:rPr>
          <w:b/>
          <w:bCs/>
        </w:rPr>
        <w:t>Studiul Health Behaviour in School-aged Children (HBSC)</w:t>
      </w:r>
      <w:r w:rsidRPr="0086028D">
        <w:t xml:space="preserve"> a evidențiat în 2014 un consum curent de</w:t>
      </w:r>
      <w:r>
        <w:t xml:space="preserve"> </w:t>
      </w:r>
      <w:r w:rsidRPr="0086028D">
        <w:t>tutun (cel puțin o dată în ultima săptămână) în rândul elevilor cu vârstă de 15 ani împliniți, de 19,3% la băieți</w:t>
      </w:r>
      <w:r>
        <w:t xml:space="preserve"> </w:t>
      </w:r>
      <w:r w:rsidRPr="0086028D">
        <w:t>și de 16,7% la fete.</w:t>
      </w:r>
      <w:r>
        <w:t xml:space="preserve"> </w:t>
      </w:r>
      <w:r w:rsidRPr="0086028D">
        <w:t>Același studiu indică o creștere între anii 2006 și 2014 a prevalenței acestui comportament de risc în</w:t>
      </w:r>
      <w:r>
        <w:t xml:space="preserve"> </w:t>
      </w:r>
      <w:r w:rsidRPr="0086028D">
        <w:t>rândul adolescenților, ambele genuri la un loc</w:t>
      </w:r>
      <w:r w:rsidR="00D71D5D">
        <w:t xml:space="preserve"> (Fig.5)</w:t>
      </w:r>
      <w:r w:rsidRPr="0086028D">
        <w:t>. În timp ce la fete creșterea a fost monotonă, înregistrând</w:t>
      </w:r>
      <w:r>
        <w:t xml:space="preserve"> </w:t>
      </w:r>
      <w:r w:rsidRPr="0086028D">
        <w:t>valori de 5,2% (în 2006), 8,3% (în 2010) și 8,9% (în 2014), la băieți, în perioada 2006-2010 creșterea a fost</w:t>
      </w:r>
      <w:r>
        <w:t xml:space="preserve"> </w:t>
      </w:r>
      <w:r w:rsidRPr="0086028D">
        <w:t xml:space="preserve">mai accentuată (de la 7,9% la 14,4%), urmată apoi de o scădere (10,8%) în anul 2014 </w:t>
      </w:r>
      <w:r>
        <w:t>(13)</w:t>
      </w:r>
      <w:r w:rsidRPr="0086028D">
        <w:t>.</w:t>
      </w:r>
      <w:r>
        <w:t xml:space="preserve"> </w:t>
      </w:r>
      <w:r w:rsidRPr="0086028D">
        <w:t>După vârstă (Fig. 5), dacă în 2014 prevalența în rândul elevilor fumători cu vârsta de 15 ani era</w:t>
      </w:r>
      <w:r>
        <w:t xml:space="preserve"> </w:t>
      </w:r>
      <w:r w:rsidRPr="0086028D">
        <w:t>de 19,3% la băieți și de 16,7% la fete, diferența procentuală între băieți și fete la această vârstă</w:t>
      </w:r>
      <w:r>
        <w:t xml:space="preserve"> fiind</w:t>
      </w:r>
      <w:r w:rsidRPr="0086028D">
        <w:t xml:space="preserve"> mai mică în comparație cu elevii cu vârsta de 13 ani la care prevalența era de 9,6% la băieți și de 6% în</w:t>
      </w:r>
      <w:r>
        <w:t xml:space="preserve"> </w:t>
      </w:r>
      <w:r w:rsidRPr="0086028D">
        <w:t>rândul fetelor. Fumatul curent crește cu vârsta, în special la fete</w:t>
      </w:r>
      <w:r>
        <w:t>.</w:t>
      </w:r>
    </w:p>
    <w:p w14:paraId="09EE87A9" w14:textId="1BC1A89C" w:rsidR="00D71D5D" w:rsidRPr="00D71D5D" w:rsidRDefault="00D71D5D" w:rsidP="00C65D85">
      <w:pPr>
        <w:pStyle w:val="Caption"/>
        <w:spacing w:beforeAutospacing="0" w:after="120" w:afterAutospacing="0"/>
        <w:jc w:val="center"/>
        <w:rPr>
          <w:color w:val="auto"/>
          <w:sz w:val="20"/>
          <w:szCs w:val="20"/>
        </w:rPr>
      </w:pPr>
      <w:r w:rsidRPr="00D71D5D">
        <w:rPr>
          <w:color w:val="auto"/>
          <w:sz w:val="20"/>
          <w:szCs w:val="20"/>
        </w:rPr>
        <w:t xml:space="preserve">Figura </w:t>
      </w:r>
      <w:r w:rsidRPr="00D71D5D">
        <w:rPr>
          <w:color w:val="auto"/>
          <w:sz w:val="20"/>
          <w:szCs w:val="20"/>
        </w:rPr>
        <w:fldChar w:fldCharType="begin"/>
      </w:r>
      <w:r w:rsidRPr="00D71D5D">
        <w:rPr>
          <w:color w:val="auto"/>
          <w:sz w:val="20"/>
          <w:szCs w:val="20"/>
        </w:rPr>
        <w:instrText xml:space="preserve"> SEQ Figura \* ARABIC </w:instrText>
      </w:r>
      <w:r w:rsidRPr="00D71D5D">
        <w:rPr>
          <w:color w:val="auto"/>
          <w:sz w:val="20"/>
          <w:szCs w:val="20"/>
        </w:rPr>
        <w:fldChar w:fldCharType="separate"/>
      </w:r>
      <w:r w:rsidR="00CA1CF9">
        <w:rPr>
          <w:noProof/>
          <w:color w:val="auto"/>
          <w:sz w:val="20"/>
          <w:szCs w:val="20"/>
        </w:rPr>
        <w:t>6</w:t>
      </w:r>
      <w:r w:rsidRPr="00D71D5D">
        <w:rPr>
          <w:color w:val="auto"/>
          <w:sz w:val="20"/>
          <w:szCs w:val="20"/>
        </w:rPr>
        <w:fldChar w:fldCharType="end"/>
      </w:r>
      <w:r w:rsidRPr="00D71D5D">
        <w:rPr>
          <w:color w:val="auto"/>
          <w:sz w:val="20"/>
          <w:szCs w:val="20"/>
        </w:rPr>
        <w:t xml:space="preserve">.Prevalența consumului de tutun </w:t>
      </w:r>
      <w:r w:rsidR="005E67D2">
        <w:rPr>
          <w:color w:val="auto"/>
          <w:sz w:val="20"/>
          <w:szCs w:val="20"/>
        </w:rPr>
        <w:t xml:space="preserve">la elevi </w:t>
      </w:r>
      <w:r w:rsidRPr="00D71D5D">
        <w:rPr>
          <w:color w:val="auto"/>
          <w:sz w:val="20"/>
          <w:szCs w:val="20"/>
        </w:rPr>
        <w:t>între anii 2006 și 2014</w:t>
      </w:r>
    </w:p>
    <w:p w14:paraId="5FC71258" w14:textId="7317AA49" w:rsidR="00D71D5D" w:rsidRPr="00D71D5D" w:rsidRDefault="00D71D5D" w:rsidP="00D71D5D">
      <w:pPr>
        <w:jc w:val="center"/>
      </w:pPr>
      <w:r w:rsidRPr="00216915">
        <w:rPr>
          <w:rFonts w:asciiTheme="majorHAnsi" w:eastAsia="Times New Roman" w:hAnsiTheme="majorHAnsi"/>
          <w:noProof/>
          <w:lang w:val="en-US"/>
        </w:rPr>
        <w:drawing>
          <wp:inline distT="0" distB="0" distL="0" distR="0" wp14:anchorId="6DEC9712" wp14:editId="19C3F835">
            <wp:extent cx="4264762" cy="1909267"/>
            <wp:effectExtent l="0" t="0" r="21590" b="1524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E788A9" w14:textId="0CA114FC" w:rsidR="005E67D2" w:rsidRPr="00216915" w:rsidRDefault="005E67D2" w:rsidP="005E67D2">
      <w:pPr>
        <w:spacing w:before="0" w:beforeAutospacing="0" w:after="120" w:afterAutospacing="0"/>
        <w:rPr>
          <w:rFonts w:asciiTheme="majorHAnsi" w:eastAsia="Times New Roman" w:hAnsiTheme="majorHAnsi"/>
        </w:rPr>
      </w:pPr>
      <w:r w:rsidRPr="005E67D2">
        <w:t>Dintre băieţii de 15 ani care raportează că fumează, aproximativ 24% au inițiat acest comportament înainte de 13 ani. În cazul fetelor care fumează la vârsta de 15 ani, 15.6% au început să fumeze înainte de 13 ani.</w:t>
      </w:r>
      <w:r>
        <w:t xml:space="preserve"> </w:t>
      </w:r>
      <w:r w:rsidRPr="005E67D2">
        <w:t>Analizând datele cu privire la evoluția debutului timpuriu al fumatului (la 13 ani sau înainte) la băieți se observă o creștere de 1% între 2006 și 2010 (de la 25% la 26%), procentul înregistrat în 2014 scăzând la 23.8%. În cazul fetelor, tendința este inversă față de băieți, descrescătoare în 2010 (11%) față de 2006 (15%) iar în 2014 înregistrând o creștere (15.6%). De remarcat este și faptul că în 2006 diferența dintre cele două categorii de gen a fost de 10% iar în 2014 această diferență se reduce la doar 8.2%.</w:t>
      </w:r>
      <w:r>
        <w:t xml:space="preserve"> </w:t>
      </w:r>
      <w:r w:rsidRPr="00216915">
        <w:rPr>
          <w:rFonts w:asciiTheme="majorHAnsi" w:eastAsia="Times New Roman" w:hAnsiTheme="majorHAnsi"/>
        </w:rPr>
        <w:t xml:space="preserve">Mai important din punct de vedere al impactului fumatului asupra sănătății este faptul că debutul timpuriu prezintă o tendință ascendentă la genul feminin, frecvența celor care încep să fumeze înainte de 13 ani este mai mare în 2014 față de 2006 și 2010. De asemenea, diferența dintre cele două categorii de gen în privința debutului consumului de tutun se reduce în 2014 (8.2%) față de 2006 (10%). </w:t>
      </w:r>
    </w:p>
    <w:p w14:paraId="5F6323B8" w14:textId="1AAEB435" w:rsidR="00D71D5D" w:rsidRDefault="005E67D2" w:rsidP="005E67D2">
      <w:pPr>
        <w:spacing w:before="0" w:beforeAutospacing="0" w:after="120" w:afterAutospacing="0"/>
      </w:pPr>
      <w:r w:rsidRPr="005E67D2">
        <w:lastRenderedPageBreak/>
        <w:t xml:space="preserve">Conform </w:t>
      </w:r>
      <w:r>
        <w:t>aceluiași studiu</w:t>
      </w:r>
      <w:r w:rsidRPr="005E67D2">
        <w:t>, România se situează pe locul 7 din 41 de țări, în ordine descrescătoare, în ceea ce privește frecvența elevilor de 15 ani care fumează cel puțin o dată pe săptămână, 17% dintre fete și 20% dintre băieții chestionați raportând acest comportament cu risc pentru sănătate.</w:t>
      </w:r>
    </w:p>
    <w:p w14:paraId="2FDE7075" w14:textId="779DA1D5" w:rsidR="00D71D5D" w:rsidRDefault="005E67D2" w:rsidP="0086028D">
      <w:pPr>
        <w:spacing w:before="0" w:beforeAutospacing="0" w:after="120" w:afterAutospacing="0"/>
      </w:pPr>
      <w:r>
        <w:t>În România se poate observa o evoluție constantă din anul 2005/2006 (12%) până în anul 2017/2018 (19,88%) a frecvenței fetelor de 15 ani care fumează cel puțin o dată pe săptămână. Comparativ cu anul 2015-2016 (27,14%) la băieți se înregistrează o evoluție descendentă a frecvenței băieților de 15 ani (24,67%) care raportează acest comportament.</w:t>
      </w:r>
    </w:p>
    <w:p w14:paraId="34608DF0" w14:textId="7204401F" w:rsidR="002A6F6E" w:rsidRPr="002A6F6E" w:rsidRDefault="002A6F6E" w:rsidP="002A6F6E">
      <w:pPr>
        <w:autoSpaceDE w:val="0"/>
        <w:autoSpaceDN w:val="0"/>
        <w:adjustRightInd w:val="0"/>
        <w:spacing w:before="0" w:beforeAutospacing="0" w:after="0" w:afterAutospacing="0"/>
        <w:rPr>
          <w:b/>
          <w:bCs/>
        </w:rPr>
      </w:pPr>
      <w:r w:rsidRPr="002A6F6E">
        <w:rPr>
          <w:b/>
          <w:bCs/>
        </w:rPr>
        <w:t>Studiul Global privind tutunul la tineri (GYTS</w:t>
      </w:r>
      <w:r w:rsidRPr="002A6F6E">
        <w:t xml:space="preserve"> </w:t>
      </w:r>
      <w:r w:rsidRPr="002A6F6E">
        <w:rPr>
          <w:b/>
          <w:bCs/>
        </w:rPr>
        <w:t>2017</w:t>
      </w:r>
      <w:r w:rsidRPr="002A6F6E">
        <w:t>) efectuat pe un eșantion reprezentativ de 4 395 elevi de 13-15 ani din</w:t>
      </w:r>
      <w:r>
        <w:t xml:space="preserve"> </w:t>
      </w:r>
      <w:r w:rsidRPr="002A6F6E">
        <w:t xml:space="preserve">clasele 6-8 </w:t>
      </w:r>
      <w:r>
        <w:t>a</w:t>
      </w:r>
      <w:r w:rsidRPr="002A6F6E">
        <w:t xml:space="preserve"> </w:t>
      </w:r>
      <w:r>
        <w:t>evidențiat faptul că</w:t>
      </w:r>
      <w:r w:rsidRPr="002A6F6E">
        <w:t>:</w:t>
      </w:r>
      <w:r>
        <w:t xml:space="preserve"> </w:t>
      </w:r>
      <w:r w:rsidRPr="002A6F6E">
        <w:t>14,6% dintre elevi (16,4% dintre băieți și 12,5% dintre fete) consumau produse din tutun;</w:t>
      </w:r>
      <w:r>
        <w:t xml:space="preserve"> </w:t>
      </w:r>
      <w:r w:rsidRPr="002A6F6E">
        <w:t>8,6% dintre elevi (9,8% dintre băieți și 7,3% dintre fete) fumau țigarete;</w:t>
      </w:r>
      <w:r>
        <w:t xml:space="preserve"> </w:t>
      </w:r>
      <w:r w:rsidRPr="002A6F6E">
        <w:t>3,1% dintre elevi, (3,8% dintre băieți și 2,3% dintre fete) utilizau produse din tutun încălzite</w:t>
      </w:r>
      <w:r>
        <w:t xml:space="preserve"> </w:t>
      </w:r>
      <w:r w:rsidRPr="002A6F6E">
        <w:t>(</w:t>
      </w:r>
      <w:r>
        <w:t>de tipul i</w:t>
      </w:r>
      <w:r w:rsidRPr="002A6F6E">
        <w:t>QOS</w:t>
      </w:r>
      <w:r>
        <w:t xml:space="preserve"> sau GLO</w:t>
      </w:r>
      <w:r w:rsidRPr="002A6F6E">
        <w:t>)</w:t>
      </w:r>
      <w:r>
        <w:t xml:space="preserve">. </w:t>
      </w:r>
      <w:r w:rsidRPr="002A6F6E">
        <w:rPr>
          <w:b/>
          <w:bCs/>
        </w:rPr>
        <w:t>28,0% dintre fumători au încercat o primă țigaretă înaintea vârstei de 10 ani.</w:t>
      </w:r>
    </w:p>
    <w:p w14:paraId="590BD5AA" w14:textId="25B9069B" w:rsidR="00A27DBA" w:rsidRDefault="00A27DBA" w:rsidP="00A27DBA">
      <w:pPr>
        <w:autoSpaceDE w:val="0"/>
        <w:autoSpaceDN w:val="0"/>
        <w:adjustRightInd w:val="0"/>
        <w:spacing w:before="0" w:beforeAutospacing="0" w:after="0" w:afterAutospacing="0"/>
        <w:rPr>
          <w:rFonts w:ascii="Times New Roman,Italic" w:hAnsi="Times New Roman,Italic" w:cs="Times New Roman,Italic"/>
        </w:rPr>
      </w:pPr>
      <w:r>
        <w:rPr>
          <w:rFonts w:ascii="Times New Roman,Italic" w:hAnsi="Times New Roman,Italic" w:cs="Times New Roman,Italic"/>
        </w:rPr>
        <w:t xml:space="preserve">Conform studiului, </w:t>
      </w:r>
      <w:r w:rsidRPr="00A27DBA">
        <w:rPr>
          <w:rFonts w:ascii="Times New Roman,Italic" w:hAnsi="Times New Roman,Italic" w:cs="Times New Roman,Italic"/>
          <w:b/>
          <w:bCs/>
        </w:rPr>
        <w:t xml:space="preserve">15,5% au fumat </w:t>
      </w:r>
      <w:r>
        <w:rPr>
          <w:rFonts w:ascii="Times New Roman,Italic" w:hAnsi="Times New Roman,Italic" w:cs="Times New Roman,Italic"/>
          <w:b/>
          <w:bCs/>
        </w:rPr>
        <w:t>țigări</w:t>
      </w:r>
      <w:r w:rsidRPr="00A27DBA">
        <w:rPr>
          <w:rFonts w:ascii="Times New Roman,Italic" w:hAnsi="Times New Roman,Italic" w:cs="Times New Roman,Italic"/>
          <w:b/>
          <w:bCs/>
        </w:rPr>
        <w:t xml:space="preserve"> electronice cel puțin o dată în viață</w:t>
      </w:r>
      <w:r>
        <w:rPr>
          <w:rFonts w:ascii="Times New Roman,Italic" w:hAnsi="Times New Roman,Italic" w:cs="Times New Roman,Italic"/>
        </w:rPr>
        <w:t xml:space="preserve">, </w:t>
      </w:r>
      <w:r w:rsidRPr="00A27DBA">
        <w:rPr>
          <w:rFonts w:ascii="Times New Roman,Italic" w:hAnsi="Times New Roman,Italic" w:cs="Times New Roman,Italic"/>
        </w:rPr>
        <w:t>semnificativ mai mulți băieți (18%) decât fete (12,7%);</w:t>
      </w:r>
      <w:r>
        <w:rPr>
          <w:rFonts w:ascii="Times New Roman,Italic" w:hAnsi="Times New Roman,Italic" w:cs="Times New Roman,Italic"/>
        </w:rPr>
        <w:t xml:space="preserve"> </w:t>
      </w:r>
      <w:r w:rsidRPr="00A27DBA">
        <w:rPr>
          <w:rFonts w:ascii="Times New Roman,Italic" w:hAnsi="Times New Roman,Italic" w:cs="Times New Roman,Italic"/>
          <w:b/>
          <w:bCs/>
        </w:rPr>
        <w:t>8,2% fumează țig</w:t>
      </w:r>
      <w:r>
        <w:rPr>
          <w:rFonts w:ascii="Times New Roman,Italic" w:hAnsi="Times New Roman,Italic" w:cs="Times New Roman,Italic"/>
          <w:b/>
          <w:bCs/>
        </w:rPr>
        <w:t>ări</w:t>
      </w:r>
      <w:r w:rsidRPr="00A27DBA">
        <w:rPr>
          <w:rFonts w:ascii="Times New Roman,Italic" w:hAnsi="Times New Roman,Italic" w:cs="Times New Roman,Italic"/>
          <w:b/>
          <w:bCs/>
        </w:rPr>
        <w:t xml:space="preserve"> electronice în mod curent</w:t>
      </w:r>
      <w:r w:rsidRPr="00A27DBA">
        <w:rPr>
          <w:rFonts w:ascii="Times New Roman,Italic" w:hAnsi="Times New Roman,Italic" w:cs="Times New Roman,Italic"/>
        </w:rPr>
        <w:t xml:space="preserve"> (în ultimele 30 de zile), un procent la fel de mare ca şi pentru țig</w:t>
      </w:r>
      <w:r>
        <w:rPr>
          <w:rFonts w:ascii="Times New Roman,Italic" w:hAnsi="Times New Roman,Italic" w:cs="Times New Roman,Italic"/>
        </w:rPr>
        <w:t xml:space="preserve">ările </w:t>
      </w:r>
      <w:r w:rsidRPr="00A27DBA">
        <w:rPr>
          <w:rFonts w:ascii="Times New Roman,Italic" w:hAnsi="Times New Roman,Italic" w:cs="Times New Roman,Italic"/>
        </w:rPr>
        <w:t>obișnuite (8,6%)</w:t>
      </w:r>
      <w:r>
        <w:rPr>
          <w:rFonts w:ascii="Times New Roman,Italic" w:hAnsi="Times New Roman,Italic" w:cs="Times New Roman,Italic"/>
        </w:rPr>
        <w:t xml:space="preserve">, </w:t>
      </w:r>
      <w:r w:rsidRPr="00A27DBA">
        <w:rPr>
          <w:rFonts w:ascii="Times New Roman,Italic" w:hAnsi="Times New Roman,Italic" w:cs="Times New Roman,Italic"/>
        </w:rPr>
        <w:t>semnificativ mai mulți băieți  (10,1%) decât fete (5,9%)</w:t>
      </w:r>
      <w:r>
        <w:rPr>
          <w:rFonts w:ascii="Times New Roman,Italic" w:hAnsi="Times New Roman,Italic" w:cs="Times New Roman,Italic"/>
        </w:rPr>
        <w:t>. P</w:t>
      </w:r>
      <w:r w:rsidRPr="00A27DBA">
        <w:rPr>
          <w:rFonts w:ascii="Times New Roman,Italic" w:hAnsi="Times New Roman,Italic" w:cs="Times New Roman,Italic"/>
        </w:rPr>
        <w:t>rocentul băieților care fumează țigări electronice este mai mare decât al celor care fumează țigări obișnuite (10,1% versus 9,8%)</w:t>
      </w:r>
    </w:p>
    <w:p w14:paraId="01B1D93E" w14:textId="7D87AD2F" w:rsidR="002A6F6E" w:rsidRPr="002A6F6E" w:rsidRDefault="002A6F6E" w:rsidP="00A27DBA">
      <w:pPr>
        <w:autoSpaceDE w:val="0"/>
        <w:autoSpaceDN w:val="0"/>
        <w:adjustRightInd w:val="0"/>
        <w:spacing w:before="0" w:beforeAutospacing="0" w:after="0" w:afterAutospacing="0"/>
      </w:pPr>
      <w:r w:rsidRPr="002A6F6E">
        <w:rPr>
          <w:rFonts w:ascii="Times New Roman,Italic" w:hAnsi="Times New Roman,Italic" w:cs="Times New Roman,Italic"/>
          <w:i/>
          <w:iCs/>
        </w:rPr>
        <w:t xml:space="preserve">Renunțarea la fumat </w:t>
      </w:r>
      <w:r w:rsidRPr="002A6F6E">
        <w:t>se afla în intenția a circa 7 din 10 (67,2%) fumători curenți care au încercat să</w:t>
      </w:r>
      <w:r w:rsidR="00D63A23">
        <w:t xml:space="preserve"> </w:t>
      </w:r>
      <w:r w:rsidRPr="002A6F6E">
        <w:t>renunțe la acest viciu în ultimele 12 luni, în timp ce circa 6 din 10 (57,2%) fumători curenți doreau să</w:t>
      </w:r>
      <w:r w:rsidR="00D63A23">
        <w:t xml:space="preserve"> </w:t>
      </w:r>
      <w:r w:rsidRPr="002A6F6E">
        <w:t xml:space="preserve">renunțe la fumat în </w:t>
      </w:r>
      <w:r w:rsidR="00D63A23">
        <w:t>anul următor.</w:t>
      </w:r>
    </w:p>
    <w:p w14:paraId="67053434" w14:textId="77777777" w:rsidR="009D3D3A" w:rsidRDefault="009D3D3A" w:rsidP="009D3D3A">
      <w:pPr>
        <w:autoSpaceDE w:val="0"/>
        <w:autoSpaceDN w:val="0"/>
        <w:adjustRightInd w:val="0"/>
        <w:spacing w:before="0" w:beforeAutospacing="0" w:after="0" w:afterAutospacing="0"/>
      </w:pPr>
      <w:r>
        <w:t xml:space="preserve">În ceea ce privește expunerea ambientală la fumul de tutun (fumatul pasiv), </w:t>
      </w:r>
      <w:r w:rsidR="002A6F6E" w:rsidRPr="002A6F6E">
        <w:t>35,9% dintre elevi au declarat că au fost expuși fumatului pasiv la domiciliu, (34,1% băieți și</w:t>
      </w:r>
      <w:r w:rsidR="00D63A23">
        <w:t xml:space="preserve"> </w:t>
      </w:r>
      <w:r w:rsidR="002A6F6E" w:rsidRPr="002A6F6E">
        <w:t>37,8% fete);</w:t>
      </w:r>
      <w:r>
        <w:t xml:space="preserve"> </w:t>
      </w:r>
      <w:r w:rsidR="002A6F6E" w:rsidRPr="002A6F6E">
        <w:t>34.2% au declarat că au fost expuși fumatului pasiv în interiorul unui spațiu public închis</w:t>
      </w:r>
      <w:r>
        <w:t xml:space="preserve"> </w:t>
      </w:r>
      <w:r w:rsidR="002A6F6E" w:rsidRPr="002A6F6E">
        <w:t>(33,3% băieți și 35,3% fete);</w:t>
      </w:r>
      <w:r>
        <w:t xml:space="preserve"> </w:t>
      </w:r>
      <w:r w:rsidR="002A6F6E" w:rsidRPr="002A6F6E">
        <w:t>49,2% au declarat că au fost expuși fumatului pasiv într-un spațiu public deschis, 47,4% băieți și</w:t>
      </w:r>
      <w:r>
        <w:t xml:space="preserve"> </w:t>
      </w:r>
      <w:r w:rsidR="002A6F6E" w:rsidRPr="002A6F6E">
        <w:t>51,3% fete;</w:t>
      </w:r>
      <w:r>
        <w:t xml:space="preserve"> </w:t>
      </w:r>
      <w:r w:rsidR="002A6F6E" w:rsidRPr="002A6F6E">
        <w:t>45,5% dintre elevi au declarat că au văzut pe cineva fumând în clădirea școlii sau în curtea școlii</w:t>
      </w:r>
      <w:r>
        <w:t xml:space="preserve"> </w:t>
      </w:r>
      <w:r w:rsidR="002A6F6E" w:rsidRPr="002A6F6E">
        <w:t>(46% băieți și 45% fete)</w:t>
      </w:r>
      <w:r>
        <w:t>.</w:t>
      </w:r>
    </w:p>
    <w:p w14:paraId="447D5880" w14:textId="2495BC22" w:rsidR="009D3D3A" w:rsidRDefault="002A6F6E" w:rsidP="00A27DBA">
      <w:pPr>
        <w:autoSpaceDE w:val="0"/>
        <w:autoSpaceDN w:val="0"/>
        <w:adjustRightInd w:val="0"/>
        <w:spacing w:before="0" w:beforeAutospacing="0" w:after="120" w:afterAutospacing="0"/>
      </w:pPr>
      <w:r w:rsidRPr="002A6F6E">
        <w:t xml:space="preserve">Conform GYTS, dinamica 2004 – 2017 </w:t>
      </w:r>
      <w:r w:rsidR="009D3D3A">
        <w:t xml:space="preserve">evidențiază faptul că după un </w:t>
      </w:r>
      <w:r w:rsidR="009D3D3A" w:rsidRPr="009D3D3A">
        <w:t>interval de 10 ani (2004 – 2013) în care procentul copiilor care fumează țigări a scăzut semnificativ și constant, actual observăm o încetinire a ritmului de scădere atât a tentativelor de a încerca țigara, cât și a fumatului curent. Îngrijorător este de asemenea procentul mai mare de adolescente care afirmă în anul 2017 că au fumat cel puțin o dată în viață, comparativ cu procentul din anul 2013</w:t>
      </w:r>
      <w:r w:rsidR="009D3D3A">
        <w:t xml:space="preserve">, </w:t>
      </w:r>
      <w:r w:rsidRPr="002A6F6E">
        <w:t>micșorar</w:t>
      </w:r>
      <w:r w:rsidR="009D3D3A">
        <w:t>ându-se, astfel,</w:t>
      </w:r>
      <w:r w:rsidRPr="002A6F6E">
        <w:t xml:space="preserve"> gradual decalajul între băieți și fete în intervalul 2009 (17% băieți față de 11% fete) și 2013</w:t>
      </w:r>
      <w:r w:rsidR="009D3D3A">
        <w:t xml:space="preserve"> </w:t>
      </w:r>
      <w:r w:rsidRPr="009D3D3A">
        <w:t>(14% față de 12%), în timp ce în perioada 2014 - 2017 prevalența în rândul elevilor era apropiată, fiind de</w:t>
      </w:r>
      <w:r w:rsidR="009D3D3A">
        <w:t xml:space="preserve"> </w:t>
      </w:r>
      <w:r w:rsidRPr="009D3D3A">
        <w:t>circa 13% la băieti și de circa 11% la fete</w:t>
      </w:r>
      <w:r w:rsidR="009D3D3A">
        <w:t xml:space="preserve"> (Fig.7)</w:t>
      </w:r>
    </w:p>
    <w:p w14:paraId="1AC73D5E" w14:textId="584BF87C" w:rsidR="009D3D3A" w:rsidRDefault="009D3D3A" w:rsidP="00C65D85">
      <w:pPr>
        <w:pStyle w:val="Caption"/>
        <w:spacing w:beforeAutospacing="0" w:after="120" w:afterAutospacing="0"/>
        <w:jc w:val="center"/>
        <w:rPr>
          <w:color w:val="auto"/>
          <w:sz w:val="20"/>
          <w:szCs w:val="20"/>
        </w:rPr>
      </w:pPr>
      <w:r w:rsidRPr="009D3D3A">
        <w:rPr>
          <w:color w:val="auto"/>
          <w:sz w:val="20"/>
          <w:szCs w:val="20"/>
        </w:rPr>
        <w:t xml:space="preserve">Figura </w:t>
      </w:r>
      <w:r w:rsidRPr="009D3D3A">
        <w:rPr>
          <w:color w:val="auto"/>
          <w:sz w:val="20"/>
          <w:szCs w:val="20"/>
        </w:rPr>
        <w:fldChar w:fldCharType="begin"/>
      </w:r>
      <w:r w:rsidRPr="009D3D3A">
        <w:rPr>
          <w:color w:val="auto"/>
          <w:sz w:val="20"/>
          <w:szCs w:val="20"/>
        </w:rPr>
        <w:instrText xml:space="preserve"> SEQ Figura \* ARABIC </w:instrText>
      </w:r>
      <w:r w:rsidRPr="009D3D3A">
        <w:rPr>
          <w:color w:val="auto"/>
          <w:sz w:val="20"/>
          <w:szCs w:val="20"/>
        </w:rPr>
        <w:fldChar w:fldCharType="separate"/>
      </w:r>
      <w:r w:rsidR="00CA1CF9">
        <w:rPr>
          <w:noProof/>
          <w:color w:val="auto"/>
          <w:sz w:val="20"/>
          <w:szCs w:val="20"/>
        </w:rPr>
        <w:t>7</w:t>
      </w:r>
      <w:r w:rsidRPr="009D3D3A">
        <w:rPr>
          <w:color w:val="auto"/>
          <w:sz w:val="20"/>
          <w:szCs w:val="20"/>
        </w:rPr>
        <w:fldChar w:fldCharType="end"/>
      </w:r>
      <w:r w:rsidRPr="009D3D3A">
        <w:rPr>
          <w:color w:val="auto"/>
          <w:sz w:val="20"/>
          <w:szCs w:val="20"/>
        </w:rPr>
        <w:t>. România 2004 - 2017: dinamica fumatului curent de țigări la elevii 13 - 15 ani</w:t>
      </w:r>
    </w:p>
    <w:p w14:paraId="42685702" w14:textId="5BB38109" w:rsidR="009D3D3A" w:rsidRPr="009D3D3A" w:rsidRDefault="009D3D3A" w:rsidP="00C65D85">
      <w:pPr>
        <w:spacing w:before="0" w:beforeAutospacing="0" w:after="0" w:afterAutospacing="0"/>
        <w:jc w:val="center"/>
      </w:pPr>
      <w:r w:rsidRPr="009D3D3A">
        <w:rPr>
          <w:noProof/>
          <w:lang w:val="en-US"/>
        </w:rPr>
        <w:drawing>
          <wp:inline distT="0" distB="0" distL="0" distR="0" wp14:anchorId="061BF7DB" wp14:editId="394EA846">
            <wp:extent cx="5276850" cy="21640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2164080"/>
                    </a:xfrm>
                    <a:prstGeom prst="rect">
                      <a:avLst/>
                    </a:prstGeom>
                    <a:noFill/>
                    <a:ln>
                      <a:noFill/>
                    </a:ln>
                  </pic:spPr>
                </pic:pic>
              </a:graphicData>
            </a:graphic>
          </wp:inline>
        </w:drawing>
      </w:r>
    </w:p>
    <w:p w14:paraId="26ED25AA" w14:textId="77777777" w:rsidR="009D3D3A" w:rsidRPr="009D3D3A" w:rsidRDefault="009D3D3A" w:rsidP="009D3D3A">
      <w:pPr>
        <w:autoSpaceDE w:val="0"/>
        <w:autoSpaceDN w:val="0"/>
        <w:adjustRightInd w:val="0"/>
        <w:spacing w:before="0" w:beforeAutospacing="0" w:after="0" w:afterAutospacing="0"/>
      </w:pPr>
    </w:p>
    <w:p w14:paraId="53CABDD5" w14:textId="77777777" w:rsidR="009D3D3A" w:rsidRDefault="009D3D3A" w:rsidP="009D3D3A">
      <w:pPr>
        <w:spacing w:before="0" w:beforeAutospacing="0" w:after="120" w:afterAutospacing="0"/>
      </w:pPr>
      <w:r>
        <w:t xml:space="preserve">Această evoluție negativă este accentuată de creșterea procentului elevilor care fumează curent țigări electronice dar și de apariția unei noi categorii de consumatori de nicotină: cei care fumează produse din tutun încălzit. </w:t>
      </w:r>
    </w:p>
    <w:p w14:paraId="4ADC11A4" w14:textId="60EE7B97" w:rsidR="002A6F6E" w:rsidRDefault="009D3D3A" w:rsidP="009D3D3A">
      <w:pPr>
        <w:spacing w:before="0" w:beforeAutospacing="0" w:after="120" w:afterAutospacing="0"/>
      </w:pPr>
      <w:r>
        <w:lastRenderedPageBreak/>
        <w:t>Deși procentul adolescenților care fumează curent țigări este în scădere, acest beneficiu este contracarat de faptul că mai mulți fumează curent țigări electronice și produse din tutun încălzit. Astfel, în 2017, procentul total al elevilor care fumează curent țigări electronice este aproape egal cu cel al celor care fumează țigări obișnuite (8,2% respectiv 8,6%). Mai mult, mai mulți băieți afirmă că fumează curent țigări electronice decât țigări obișnuite (10,1% versus 9,8%).</w:t>
      </w:r>
    </w:p>
    <w:p w14:paraId="272CAB62" w14:textId="25498E71" w:rsidR="00965EF9" w:rsidRPr="00651F8A" w:rsidRDefault="00965EF9" w:rsidP="00965EF9">
      <w:pPr>
        <w:pStyle w:val="T-Body"/>
        <w:spacing w:before="0" w:after="240" w:line="240" w:lineRule="auto"/>
        <w:rPr>
          <w:rFonts w:ascii="Times New Roman" w:hAnsi="Times New Roman" w:cs="Times New Roman"/>
          <w:sz w:val="24"/>
          <w:szCs w:val="24"/>
          <w:lang w:val="ro-RO"/>
        </w:rPr>
      </w:pPr>
      <w:r w:rsidRPr="00651F8A">
        <w:rPr>
          <w:rFonts w:ascii="Times New Roman" w:hAnsi="Times New Roman" w:cs="Times New Roman"/>
          <w:sz w:val="24"/>
          <w:szCs w:val="24"/>
          <w:lang w:val="ro-RO"/>
        </w:rPr>
        <w:t>Deși vânzarea produselor din tutun</w:t>
      </w:r>
      <w:r>
        <w:rPr>
          <w:rFonts w:ascii="Times New Roman" w:hAnsi="Times New Roman" w:cs="Times New Roman"/>
          <w:sz w:val="24"/>
          <w:szCs w:val="24"/>
          <w:lang w:val="ro-RO"/>
        </w:rPr>
        <w:t xml:space="preserve"> către minori</w:t>
      </w:r>
      <w:r w:rsidRPr="00651F8A">
        <w:rPr>
          <w:rFonts w:ascii="Times New Roman" w:hAnsi="Times New Roman" w:cs="Times New Roman"/>
          <w:sz w:val="24"/>
          <w:szCs w:val="24"/>
          <w:lang w:val="ro-RO"/>
        </w:rPr>
        <w:t xml:space="preserve"> este interzisă, totuși 70,7% dintre copii afirmă că și-au cumpărat țigările de la magazin, adică au provenit din sursă legală.</w:t>
      </w:r>
      <w:r>
        <w:rPr>
          <w:rFonts w:ascii="Times New Roman" w:hAnsi="Times New Roman" w:cs="Times New Roman"/>
          <w:sz w:val="24"/>
          <w:szCs w:val="24"/>
          <w:lang w:val="ro-RO"/>
        </w:rPr>
        <w:t xml:space="preserve">. </w:t>
      </w:r>
      <w:r w:rsidRPr="00651F8A">
        <w:rPr>
          <w:rFonts w:ascii="Times New Roman" w:hAnsi="Times New Roman" w:cs="Times New Roman"/>
          <w:sz w:val="24"/>
          <w:szCs w:val="24"/>
          <w:lang w:val="ro-RO"/>
        </w:rPr>
        <w:t>Aproape 80% dintre copii (78,4%) afirmă că nu au fost împiedicați să cumpere țigări din cauza vârstei, iar 39,9% au putut cumpăra chiar țigări la bucată, deși acest lucru este interzis de mai mult de 10 ani!</w:t>
      </w:r>
    </w:p>
    <w:p w14:paraId="2D209D73" w14:textId="3DF88B70" w:rsidR="00A27DBA" w:rsidRDefault="00A27DBA" w:rsidP="00A27DBA">
      <w:pPr>
        <w:spacing w:before="0" w:beforeAutospacing="0" w:after="120" w:afterAutospacing="0"/>
        <w:rPr>
          <w:b/>
          <w:bCs/>
          <w:i/>
          <w:iCs/>
        </w:rPr>
      </w:pPr>
      <w:r>
        <w:rPr>
          <w:b/>
          <w:bCs/>
          <w:i/>
          <w:iCs/>
        </w:rPr>
        <w:t>Evoluția indicatorilor privind consumul de tutun între anii 20</w:t>
      </w:r>
      <w:r w:rsidR="00C65D85">
        <w:rPr>
          <w:b/>
          <w:bCs/>
          <w:i/>
          <w:iCs/>
        </w:rPr>
        <w:t>0</w:t>
      </w:r>
      <w:r>
        <w:rPr>
          <w:b/>
          <w:bCs/>
          <w:i/>
          <w:iCs/>
        </w:rPr>
        <w:t>4</w:t>
      </w:r>
      <w:r w:rsidR="00C65D85">
        <w:rPr>
          <w:b/>
          <w:bCs/>
          <w:i/>
          <w:iCs/>
        </w:rPr>
        <w:t xml:space="preserve"> </w:t>
      </w:r>
      <w:r>
        <w:rPr>
          <w:b/>
          <w:bCs/>
          <w:i/>
          <w:iCs/>
        </w:rPr>
        <w:t>și 2017 conform GYTS</w:t>
      </w:r>
    </w:p>
    <w:p w14:paraId="58E0CD78" w14:textId="2D737489" w:rsidR="009D3D3A" w:rsidRDefault="009D3D3A" w:rsidP="00A27DBA">
      <w:pPr>
        <w:pStyle w:val="ListParagraph"/>
        <w:numPr>
          <w:ilvl w:val="0"/>
          <w:numId w:val="4"/>
        </w:numPr>
        <w:spacing w:after="120"/>
        <w:jc w:val="both"/>
        <w:rPr>
          <w:rFonts w:ascii="Times New Roman" w:hAnsi="Times New Roman"/>
        </w:rPr>
      </w:pPr>
      <w:r w:rsidRPr="00A27DBA">
        <w:rPr>
          <w:rFonts w:ascii="Times New Roman" w:hAnsi="Times New Roman"/>
        </w:rPr>
        <w:t>În total, procentul elevilor de 13-15 ani care au consumat vreodată un produs din tutun (inclusiv produsele din tutun încălzit) a crescut în 2017 față de 2013 cu 2,7 puncte procentuale  (de la 35,9% la 38,6%)</w:t>
      </w:r>
      <w:r w:rsidR="00C65D85">
        <w:rPr>
          <w:rFonts w:ascii="Times New Roman" w:hAnsi="Times New Roman"/>
        </w:rPr>
        <w:t xml:space="preserve">. </w:t>
      </w:r>
      <w:r w:rsidRPr="00A27DBA">
        <w:rPr>
          <w:rFonts w:ascii="Times New Roman" w:hAnsi="Times New Roman"/>
        </w:rPr>
        <w:t>În rândul fetelor, această creștere este  și mai îngrijorătoare: cu 4 puncte procentuale, de la 31% la 36,4%.</w:t>
      </w:r>
      <w:r w:rsidR="00A27DBA" w:rsidRPr="00A27DBA">
        <w:rPr>
          <w:rFonts w:ascii="Times New Roman" w:hAnsi="Times New Roman"/>
        </w:rPr>
        <w:t xml:space="preserve"> Față de 2004, în 2009, s-a observat o scădere cu 8,7 puncte procentuale, (reprezentând o scădere de 17,4%,) a celor care afirmau că au încercat să fumeze, iar în 2013 comparativ cu 2009, tendința de scădere s-a accentuat, procentul copiilor care au încercat măcar o țigară fiind cu 10,3 puncte procentuale mai mic (reprezentând o scădere de 25%). În 2017, deși tendința de scădere a continuat, totuși ea s-a redus considerabil, procentul copiilor care au fumat cel puțin o țigară fiind cu doar 0,8 puncte procentuale mai mic față de 2013, reprezentând o scădere de doar 2,6%.</w:t>
      </w:r>
    </w:p>
    <w:p w14:paraId="478D6AA7" w14:textId="3C605D19" w:rsidR="00A27DBA" w:rsidRDefault="00A27DBA" w:rsidP="00C65D85">
      <w:pPr>
        <w:pStyle w:val="ListParagraph"/>
        <w:numPr>
          <w:ilvl w:val="0"/>
          <w:numId w:val="4"/>
        </w:numPr>
        <w:spacing w:after="120"/>
        <w:jc w:val="both"/>
        <w:rPr>
          <w:rFonts w:ascii="Times New Roman" w:hAnsi="Times New Roman"/>
        </w:rPr>
      </w:pPr>
      <w:r w:rsidRPr="00A27DBA">
        <w:rPr>
          <w:rFonts w:ascii="Times New Roman" w:hAnsi="Times New Roman"/>
        </w:rPr>
        <w:t xml:space="preserve">Față de 2004, în 2009  scăderea numărului de copii care afirmau că fumează în mod curent a fost de 3,9 puncte procentuale (reprezentând o scădere de 23,3%), iar în 2013 față de 2009, tendința de scădere s-a accentuat, procentul copiilor care afirmau că fumau curent fiind cu 4,1 puncte procentuale mai mic (reprezentând o scădere de 30,3%). În 2017, asistăm la o creştere îngrijorătoare a numărului de elevi care afirmă că fumează în mod curent, procentul acestora fiind cu 3,4 puncte procentuale mai mare față de 2013, </w:t>
      </w:r>
      <w:r w:rsidR="00C65D85">
        <w:rPr>
          <w:rFonts w:ascii="Times New Roman" w:hAnsi="Times New Roman"/>
        </w:rPr>
        <w:t xml:space="preserve">ceea ce </w:t>
      </w:r>
      <w:r w:rsidRPr="00A27DBA">
        <w:rPr>
          <w:rFonts w:ascii="Times New Roman" w:hAnsi="Times New Roman"/>
        </w:rPr>
        <w:t>reprez</w:t>
      </w:r>
      <w:r w:rsidR="00C65D85">
        <w:rPr>
          <w:rFonts w:ascii="Times New Roman" w:hAnsi="Times New Roman"/>
        </w:rPr>
        <w:t>zintă</w:t>
      </w:r>
      <w:r w:rsidRPr="00A27DBA">
        <w:rPr>
          <w:rFonts w:ascii="Times New Roman" w:hAnsi="Times New Roman"/>
        </w:rPr>
        <w:t xml:space="preserve"> o creştere </w:t>
      </w:r>
      <w:r w:rsidR="00C65D85">
        <w:rPr>
          <w:rFonts w:ascii="Times New Roman" w:hAnsi="Times New Roman"/>
        </w:rPr>
        <w:t xml:space="preserve">relativă </w:t>
      </w:r>
      <w:r w:rsidRPr="00A27DBA">
        <w:rPr>
          <w:rFonts w:ascii="Times New Roman" w:hAnsi="Times New Roman"/>
        </w:rPr>
        <w:t>de 30.35%</w:t>
      </w:r>
      <w:r w:rsidR="00C65D85">
        <w:rPr>
          <w:rFonts w:ascii="Times New Roman" w:hAnsi="Times New Roman"/>
        </w:rPr>
        <w:t xml:space="preserve"> (Fig. 8)</w:t>
      </w:r>
      <w:r w:rsidRPr="00A27DBA">
        <w:rPr>
          <w:rFonts w:ascii="Times New Roman" w:hAnsi="Times New Roman"/>
        </w:rPr>
        <w:t xml:space="preserve">. </w:t>
      </w:r>
    </w:p>
    <w:p w14:paraId="57E061D8" w14:textId="0E2D2BDD" w:rsidR="00C65D85" w:rsidRDefault="00C65D85" w:rsidP="00C65D85">
      <w:pPr>
        <w:pStyle w:val="Caption"/>
        <w:spacing w:beforeAutospacing="0" w:after="120" w:afterAutospacing="0"/>
        <w:jc w:val="center"/>
        <w:rPr>
          <w:color w:val="auto"/>
          <w:sz w:val="20"/>
          <w:szCs w:val="20"/>
        </w:rPr>
      </w:pPr>
      <w:r w:rsidRPr="00C65D85">
        <w:rPr>
          <w:color w:val="auto"/>
          <w:sz w:val="20"/>
          <w:szCs w:val="20"/>
        </w:rPr>
        <w:t xml:space="preserve">Figura </w:t>
      </w:r>
      <w:r w:rsidRPr="00C65D85">
        <w:rPr>
          <w:color w:val="auto"/>
          <w:sz w:val="20"/>
          <w:szCs w:val="20"/>
        </w:rPr>
        <w:fldChar w:fldCharType="begin"/>
      </w:r>
      <w:r w:rsidRPr="00C65D85">
        <w:rPr>
          <w:color w:val="auto"/>
          <w:sz w:val="20"/>
          <w:szCs w:val="20"/>
        </w:rPr>
        <w:instrText xml:space="preserve"> SEQ Figura \* ARABIC </w:instrText>
      </w:r>
      <w:r w:rsidRPr="00C65D85">
        <w:rPr>
          <w:color w:val="auto"/>
          <w:sz w:val="20"/>
          <w:szCs w:val="20"/>
        </w:rPr>
        <w:fldChar w:fldCharType="separate"/>
      </w:r>
      <w:r w:rsidR="00CA1CF9">
        <w:rPr>
          <w:noProof/>
          <w:color w:val="auto"/>
          <w:sz w:val="20"/>
          <w:szCs w:val="20"/>
        </w:rPr>
        <w:t>8</w:t>
      </w:r>
      <w:r w:rsidRPr="00C65D85">
        <w:rPr>
          <w:color w:val="auto"/>
          <w:sz w:val="20"/>
          <w:szCs w:val="20"/>
        </w:rPr>
        <w:fldChar w:fldCharType="end"/>
      </w:r>
      <w:r w:rsidRPr="00C65D85">
        <w:rPr>
          <w:color w:val="auto"/>
          <w:sz w:val="20"/>
          <w:szCs w:val="20"/>
        </w:rPr>
        <w:t>. Prevalența consumului curent de tutun pe genuri, 2017 față de 2013</w:t>
      </w:r>
    </w:p>
    <w:p w14:paraId="5F73E6D4" w14:textId="69278DC0" w:rsidR="00C65D85" w:rsidRPr="00C65D85" w:rsidRDefault="00C65D85" w:rsidP="00C65D85">
      <w:pPr>
        <w:jc w:val="center"/>
      </w:pPr>
      <w:r w:rsidRPr="00C65D85">
        <w:rPr>
          <w:noProof/>
          <w:lang w:val="en-US"/>
        </w:rPr>
        <w:drawing>
          <wp:inline distT="0" distB="0" distL="0" distR="0" wp14:anchorId="410A479B" wp14:editId="3831CA38">
            <wp:extent cx="3076575" cy="2009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76575" cy="2009775"/>
                    </a:xfrm>
                    <a:prstGeom prst="rect">
                      <a:avLst/>
                    </a:prstGeom>
                    <a:noFill/>
                    <a:ln>
                      <a:noFill/>
                    </a:ln>
                  </pic:spPr>
                </pic:pic>
              </a:graphicData>
            </a:graphic>
          </wp:inline>
        </w:drawing>
      </w:r>
    </w:p>
    <w:p w14:paraId="3D1C0795" w14:textId="7AEFF241" w:rsidR="00CA1EEE" w:rsidRPr="00CA1EEE" w:rsidRDefault="00C65D85" w:rsidP="00CA1EEE">
      <w:pPr>
        <w:pStyle w:val="Caption"/>
        <w:jc w:val="left"/>
      </w:pPr>
      <w:r>
        <w:lastRenderedPageBreak/>
        <w:t>Figura</w:t>
      </w:r>
      <w:r w:rsidR="00CA1EEE">
        <w:t xml:space="preserve"> </w:t>
      </w:r>
      <w:r>
        <w:t xml:space="preserve"> </w:t>
      </w:r>
      <w:r>
        <w:fldChar w:fldCharType="begin"/>
      </w:r>
      <w:r>
        <w:instrText xml:space="preserve"> SEQ Figura \* ARABIC </w:instrText>
      </w:r>
      <w:r>
        <w:fldChar w:fldCharType="separate"/>
      </w:r>
      <w:r w:rsidR="00CA1CF9">
        <w:rPr>
          <w:noProof/>
        </w:rPr>
        <w:t>9</w:t>
      </w:r>
      <w:r>
        <w:fldChar w:fldCharType="end"/>
      </w:r>
      <w:r w:rsidR="00CA1EEE">
        <w:t>. Prevalența consumului de țăgări electronice in regiunea OMS-Euro.</w:t>
      </w:r>
      <w:r w:rsidR="00CA1EEE" w:rsidRPr="00CA1EEE">
        <w:rPr>
          <w:noProof/>
          <w:lang w:val="en-US"/>
        </w:rPr>
        <w:drawing>
          <wp:inline distT="0" distB="0" distL="0" distR="0" wp14:anchorId="40F0EDCA" wp14:editId="1B93F7B9">
            <wp:extent cx="6076950" cy="348450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3484508"/>
                    </a:xfrm>
                    <a:prstGeom prst="rect">
                      <a:avLst/>
                    </a:prstGeom>
                    <a:noFill/>
                    <a:ln>
                      <a:noFill/>
                    </a:ln>
                  </pic:spPr>
                </pic:pic>
              </a:graphicData>
            </a:graphic>
          </wp:inline>
        </w:drawing>
      </w:r>
    </w:p>
    <w:p w14:paraId="26466446" w14:textId="6B655A5C" w:rsidR="00CA1EEE" w:rsidRDefault="00CA1EEE" w:rsidP="00D85100">
      <w:pPr>
        <w:pStyle w:val="ListParagraph"/>
        <w:numPr>
          <w:ilvl w:val="0"/>
          <w:numId w:val="4"/>
        </w:numPr>
        <w:spacing w:after="120"/>
        <w:jc w:val="both"/>
        <w:rPr>
          <w:rFonts w:ascii="Times New Roman" w:hAnsi="Times New Roman"/>
        </w:rPr>
      </w:pPr>
      <w:r w:rsidRPr="00CA1EEE">
        <w:rPr>
          <w:rFonts w:ascii="Times New Roman" w:hAnsi="Times New Roman"/>
        </w:rPr>
        <w:t>Consumul curent de țigări electronice este în creștere. Deși, comparativ cu 2013, în 2017 au fost cu 12,4% mai puțini elevi care au încercat țigara electronică, totuși procentul celor care o utilizează curent a crescut considerabil: cu 1,5 puncte procentuale de la 6,7% la 8,2%, reprezentând o creștere de 22,3%. Creșterea consumului curent este mai evidentă la fete decât la băieți: în 2017, fumau țigări electronice cu 1,4 puncte procentuale mai multe fete decât în 2013 (5,9% față de 4,5%), reprezentând o creștere de 31,1%, în timp ce la băieți creșterea a fost mai mică, de 1,3 puncte procentuale (10,1% față de 8,8%), cu o creștere de 14,7%. În 2017, dintre copiii care au încercat țigările electronice, un procent mult mai mare (53%) au ajuns să le folosească în mod curent, comparativ cu anul 2013 (37,8%). În contextul regiunii europene a OMS, situația se prezintă ca în figura 9.</w:t>
      </w:r>
    </w:p>
    <w:p w14:paraId="4E6CE626" w14:textId="5ADD6367" w:rsidR="00CA1EEE" w:rsidRPr="00CA1EEE" w:rsidRDefault="00CA1EEE" w:rsidP="00D85100">
      <w:pPr>
        <w:spacing w:before="0" w:beforeAutospacing="0" w:after="120" w:afterAutospacing="0"/>
        <w:rPr>
          <w:b/>
          <w:bCs/>
          <w:i/>
          <w:iCs/>
        </w:rPr>
      </w:pPr>
      <w:r w:rsidRPr="00CA1EEE">
        <w:rPr>
          <w:b/>
          <w:bCs/>
        </w:rPr>
        <w:t>II.</w:t>
      </w:r>
      <w:r w:rsidRPr="00CA1EEE">
        <w:rPr>
          <w:b/>
          <w:bCs/>
          <w:i/>
          <w:iCs/>
        </w:rPr>
        <w:t xml:space="preserve"> Date din studii interna</w:t>
      </w:r>
      <w:r>
        <w:rPr>
          <w:b/>
          <w:bCs/>
          <w:i/>
          <w:iCs/>
        </w:rPr>
        <w:t>ț</w:t>
      </w:r>
      <w:r w:rsidRPr="00CA1EEE">
        <w:rPr>
          <w:b/>
          <w:bCs/>
          <w:i/>
          <w:iCs/>
        </w:rPr>
        <w:t>ionale privind impactul fumatului asupra s</w:t>
      </w:r>
      <w:r>
        <w:rPr>
          <w:b/>
          <w:bCs/>
          <w:i/>
          <w:iCs/>
        </w:rPr>
        <w:t>ă</w:t>
      </w:r>
      <w:r w:rsidRPr="00CA1EEE">
        <w:rPr>
          <w:b/>
          <w:bCs/>
          <w:i/>
          <w:iCs/>
        </w:rPr>
        <w:t>n</w:t>
      </w:r>
      <w:r>
        <w:rPr>
          <w:b/>
          <w:bCs/>
          <w:i/>
          <w:iCs/>
        </w:rPr>
        <w:t>ă</w:t>
      </w:r>
      <w:r w:rsidRPr="00CA1EEE">
        <w:rPr>
          <w:b/>
          <w:bCs/>
          <w:i/>
          <w:iCs/>
        </w:rPr>
        <w:t>t</w:t>
      </w:r>
      <w:r>
        <w:rPr>
          <w:b/>
          <w:bCs/>
          <w:i/>
          <w:iCs/>
        </w:rPr>
        <w:t>ț</w:t>
      </w:r>
      <w:r w:rsidRPr="00CA1EEE">
        <w:rPr>
          <w:b/>
          <w:bCs/>
          <w:i/>
          <w:iCs/>
        </w:rPr>
        <w:t>ii adul</w:t>
      </w:r>
      <w:r>
        <w:rPr>
          <w:b/>
          <w:bCs/>
          <w:i/>
          <w:iCs/>
        </w:rPr>
        <w:t>ț</w:t>
      </w:r>
      <w:r w:rsidR="00D85100">
        <w:rPr>
          <w:b/>
          <w:bCs/>
          <w:i/>
          <w:iCs/>
        </w:rPr>
        <w:t>i</w:t>
      </w:r>
      <w:r w:rsidRPr="00CA1EEE">
        <w:rPr>
          <w:b/>
          <w:bCs/>
          <w:i/>
          <w:iCs/>
        </w:rPr>
        <w:t xml:space="preserve">lor </w:t>
      </w:r>
      <w:r w:rsidR="00D85100">
        <w:rPr>
          <w:b/>
          <w:bCs/>
          <w:i/>
          <w:iCs/>
        </w:rPr>
        <w:t>ș</w:t>
      </w:r>
      <w:r w:rsidRPr="00CA1EEE">
        <w:rPr>
          <w:b/>
          <w:bCs/>
          <w:i/>
          <w:iCs/>
        </w:rPr>
        <w:t>i copiilor</w:t>
      </w:r>
    </w:p>
    <w:p w14:paraId="578EB5F4" w14:textId="1AFD6928" w:rsidR="00CA1EEE" w:rsidRDefault="00CA1EEE" w:rsidP="00D85100">
      <w:pPr>
        <w:spacing w:before="0" w:beforeAutospacing="0" w:after="120" w:afterAutospacing="0"/>
      </w:pPr>
      <w:r>
        <w:t xml:space="preserve">Fumatul crește riscul </w:t>
      </w:r>
      <w:r w:rsidR="00D85100">
        <w:t xml:space="preserve">de îmbolnăvire atât </w:t>
      </w:r>
      <w:r>
        <w:t>la adulți cât și la copii, dar comunicarea magnitudinii</w:t>
      </w:r>
      <w:r w:rsidR="00D85100">
        <w:t xml:space="preserve"> </w:t>
      </w:r>
      <w:r>
        <w:t>acestor efecte într-o manieră științifică accesibilă și utilizabilă de către public și factorii de decizie politică</w:t>
      </w:r>
      <w:r w:rsidR="00D85100">
        <w:t xml:space="preserve"> </w:t>
      </w:r>
      <w:r>
        <w:t>lasă încă de dorit.</w:t>
      </w:r>
    </w:p>
    <w:p w14:paraId="3252AA20" w14:textId="0B125389" w:rsidR="00CA1EEE" w:rsidRDefault="00D85100" w:rsidP="00D85100">
      <w:pPr>
        <w:spacing w:before="0" w:beforeAutospacing="0" w:after="120" w:afterAutospacing="0"/>
      </w:pPr>
      <w:r>
        <w:t>Cele mai multe</w:t>
      </w:r>
      <w:r w:rsidR="00CA1EEE">
        <w:t xml:space="preserve"> meta-analize priv</w:t>
      </w:r>
      <w:r>
        <w:t>esc</w:t>
      </w:r>
      <w:r w:rsidR="00CA1EEE">
        <w:t xml:space="preserve"> impactul fumatului asupra sănătății prin apariția</w:t>
      </w:r>
      <w:r>
        <w:t xml:space="preserve"> </w:t>
      </w:r>
      <w:r w:rsidR="00CA1EEE">
        <w:t>cancerului pulmonar și al bolilor respiratorii.</w:t>
      </w:r>
      <w:r>
        <w:t xml:space="preserve"> </w:t>
      </w:r>
      <w:r w:rsidR="00CA1EEE">
        <w:t>Una dintre acestea, a inclus 216 articole și a arătat că în rândul fumătorilor adulți au fost confirmate</w:t>
      </w:r>
      <w:r>
        <w:t xml:space="preserve"> </w:t>
      </w:r>
      <w:r w:rsidR="00CA1EEE">
        <w:t>riscuri substanțiale pentru cancerul pulmonar (raportul de risc (RR), 10,92; 95% CI, 8,28-14,40, 34 de</w:t>
      </w:r>
      <w:r>
        <w:t xml:space="preserve"> </w:t>
      </w:r>
      <w:r w:rsidR="00CA1EEE">
        <w:t>studii), bronhopneumopatia obstructivă cronică - BPOC (RR 4,01; 95% CI, 3,18-5,05; 22 studii) și astm</w:t>
      </w:r>
      <w:r>
        <w:t xml:space="preserve"> </w:t>
      </w:r>
      <w:r w:rsidR="00CA1EEE">
        <w:t>(RR, 1,61; 95% CI, 1,07-2,42; opt studii). De asemenea, expunerea la fumatul pasiv a crescut semnificativ</w:t>
      </w:r>
      <w:r>
        <w:t xml:space="preserve"> </w:t>
      </w:r>
      <w:r w:rsidR="00CA1EEE">
        <w:t>riscul de cancer pulmonar la nefumătorii adulți, precum și riscul de astm bronșic, infecții ale căilor respiratorii inferioare și funcție pulmonară redusă la copii. Totodată, fumatul a crescut</w:t>
      </w:r>
      <w:r>
        <w:t xml:space="preserve"> </w:t>
      </w:r>
      <w:r w:rsidR="00CA1EEE">
        <w:t>semnificativ riscul de apnee în somn și exacerbări ale astmului la populațiile adulte și la gravide, iar atât</w:t>
      </w:r>
      <w:r>
        <w:t xml:space="preserve"> </w:t>
      </w:r>
      <w:r w:rsidR="00CA1EEE">
        <w:t xml:space="preserve">fumatul activ cât și cel pasiv au crescut riscul de tuberculoză </w:t>
      </w:r>
      <w:r>
        <w:t>(15)</w:t>
      </w:r>
      <w:r w:rsidR="00CA1EEE">
        <w:t>.</w:t>
      </w:r>
    </w:p>
    <w:p w14:paraId="121C9815" w14:textId="77777777" w:rsidR="00086CE0" w:rsidRDefault="00CA1EEE" w:rsidP="00D85100">
      <w:pPr>
        <w:spacing w:before="0" w:beforeAutospacing="0" w:after="120" w:afterAutospacing="0"/>
      </w:pPr>
      <w:r>
        <w:t>Pe de altă parte, odată cu creșterea rapidă a utilizării sistemelor electronice de livrare a nicotinei</w:t>
      </w:r>
      <w:r w:rsidR="00D85100">
        <w:t xml:space="preserve"> </w:t>
      </w:r>
      <w:r>
        <w:t>(Electronic Nicotine Delivery Systems-ENDS), precum țigaretele electronice (e-țigarete), continuă</w:t>
      </w:r>
      <w:r w:rsidR="00D85100">
        <w:t xml:space="preserve"> </w:t>
      </w:r>
      <w:r>
        <w:t>controversa privind efectele expunerii utilizatorilor și non-utilizatorilor la aerosoli și alte componente ale</w:t>
      </w:r>
      <w:r w:rsidR="00D85100">
        <w:t xml:space="preserve"> </w:t>
      </w:r>
      <w:r>
        <w:t>acestui tip de produs.</w:t>
      </w:r>
      <w:r w:rsidR="00D85100">
        <w:t xml:space="preserve"> </w:t>
      </w:r>
      <w:r>
        <w:t xml:space="preserve">Astfel, o analiză ce a cuprins </w:t>
      </w:r>
      <w:r>
        <w:lastRenderedPageBreak/>
        <w:t xml:space="preserve">44 de articole privind </w:t>
      </w:r>
      <w:r w:rsidR="00D85100">
        <w:t>ENDS</w:t>
      </w:r>
      <w:r>
        <w:t>, a arătat că aerosolii de la acest dispozitiv</w:t>
      </w:r>
      <w:r w:rsidR="00D85100">
        <w:t xml:space="preserve"> </w:t>
      </w:r>
      <w:r>
        <w:t>conțin de obicei nicotină, propilenă, glicol, glicerol, arome dar și alte chimicale. Aerosolizate,</w:t>
      </w:r>
      <w:r w:rsidR="00D85100">
        <w:t xml:space="preserve"> </w:t>
      </w:r>
      <w:r>
        <w:t>propilenglicololul și glicerolul produc iritații la nivelul gurii și al gâtului, precum și tuse uscată. Nu au</w:t>
      </w:r>
      <w:r w:rsidR="00D85100">
        <w:t xml:space="preserve"> </w:t>
      </w:r>
      <w:r>
        <w:t>fost identificate efecte ale inhalării aromelor. Datele privind efectele pe termen scurt asupra sănătății sunt</w:t>
      </w:r>
      <w:r w:rsidR="00D85100">
        <w:t xml:space="preserve"> </w:t>
      </w:r>
      <w:r>
        <w:t>limitate și nu există informații privind efectele pe termen lung. Expunerea la aerosoli poate fi asociată cu</w:t>
      </w:r>
      <w:r w:rsidR="00D85100">
        <w:t xml:space="preserve"> </w:t>
      </w:r>
      <w:r>
        <w:t>afectarea funcției respiratorii, iar nivelurile de cotinină serică sunt similare cu cele ale fumătorilor de</w:t>
      </w:r>
      <w:r w:rsidR="00D85100">
        <w:t xml:space="preserve"> </w:t>
      </w:r>
      <w:r>
        <w:t>țig</w:t>
      </w:r>
      <w:r w:rsidR="00D85100">
        <w:t>ări</w:t>
      </w:r>
      <w:r>
        <w:t xml:space="preserve"> clasice. Concentrațiile mari de nicotină ale unor produse măresc riscurile de expunere pasivă pentru</w:t>
      </w:r>
      <w:r w:rsidR="00D85100">
        <w:t xml:space="preserve"> </w:t>
      </w:r>
      <w:r>
        <w:t xml:space="preserve">nefumători, în special pentru copii. Pericolele expunerii la aerosolii </w:t>
      </w:r>
      <w:r w:rsidR="00D85100">
        <w:t>țigărilor electronice</w:t>
      </w:r>
      <w:r>
        <w:t xml:space="preserve"> (fumatul pasiv specific) și</w:t>
      </w:r>
      <w:r w:rsidR="00D85100">
        <w:t xml:space="preserve"> </w:t>
      </w:r>
      <w:r>
        <w:t>ale fumatului terțiar (asociat impregnării obiectelor înconjurătoare cu particule din fumul de tutun) nu au fost</w:t>
      </w:r>
      <w:r w:rsidR="00D85100">
        <w:t xml:space="preserve"> </w:t>
      </w:r>
      <w:r>
        <w:t>evaluate.</w:t>
      </w:r>
      <w:r w:rsidR="00D85100">
        <w:t xml:space="preserve"> Dovezile</w:t>
      </w:r>
      <w:r>
        <w:t xml:space="preserve"> științifice privind efectele </w:t>
      </w:r>
      <w:r w:rsidR="00D85100">
        <w:t>ENDS</w:t>
      </w:r>
      <w:r>
        <w:t xml:space="preserve"> asupra sănătății sunt limitate. În timp ce</w:t>
      </w:r>
      <w:r w:rsidR="00D85100">
        <w:t xml:space="preserve"> </w:t>
      </w:r>
      <w:r>
        <w:t>aerosolii țig</w:t>
      </w:r>
      <w:r w:rsidR="00D85100">
        <w:t>ărilor</w:t>
      </w:r>
      <w:r>
        <w:t xml:space="preserve"> electronice pot conține mai puține substanțe toxice decât fumul de țigar</w:t>
      </w:r>
      <w:r w:rsidR="00D85100">
        <w:t>a</w:t>
      </w:r>
      <w:r>
        <w:t xml:space="preserve"> clasică,</w:t>
      </w:r>
      <w:r w:rsidR="00D85100">
        <w:t xml:space="preserve"> </w:t>
      </w:r>
      <w:r>
        <w:t xml:space="preserve">studiile care evaluează impactul </w:t>
      </w:r>
      <w:r w:rsidR="00D85100">
        <w:t>ENDS</w:t>
      </w:r>
      <w:r>
        <w:t xml:space="preserve"> asupra sănătății sunt neconcludente. Unele dovezi sugerează că</w:t>
      </w:r>
      <w:r w:rsidR="00D85100">
        <w:t xml:space="preserve"> </w:t>
      </w:r>
      <w:r>
        <w:t xml:space="preserve">utilizarea acestor dispozitive poate facilita renunțarea la fumat, dar lipsesc datele definitive. Nicio </w:t>
      </w:r>
      <w:r w:rsidR="00D85100">
        <w:t>ți</w:t>
      </w:r>
      <w:r w:rsidR="00086CE0">
        <w:t xml:space="preserve">gară electronică </w:t>
      </w:r>
      <w:r>
        <w:t xml:space="preserve">nu a fost aprobată de Federal Drug Administration (FDA) ca alternativă pentru renunțarea la fumat. </w:t>
      </w:r>
      <w:r w:rsidR="00086CE0">
        <w:t xml:space="preserve">Există </w:t>
      </w:r>
      <w:r>
        <w:t xml:space="preserve">preocupări cu privire la mediu și aspecte legate de expunerea non-utilizatorilor </w:t>
      </w:r>
      <w:r w:rsidR="00086CE0">
        <w:t>(</w:t>
      </w:r>
      <w:r>
        <w:t>16</w:t>
      </w:r>
      <w:r w:rsidR="00086CE0">
        <w:t>)</w:t>
      </w:r>
      <w:r>
        <w:t>.</w:t>
      </w:r>
      <w:r w:rsidR="00086CE0">
        <w:t xml:space="preserve"> </w:t>
      </w:r>
    </w:p>
    <w:p w14:paraId="457DCF94" w14:textId="5C2711F9" w:rsidR="00CA1EEE" w:rsidRDefault="00086CE0" w:rsidP="004708D8">
      <w:pPr>
        <w:spacing w:before="0" w:beforeAutospacing="0" w:after="120" w:afterAutospacing="0"/>
      </w:pPr>
      <w:r>
        <w:t xml:space="preserve">Cu toate acestea, din luna iulie 2019 în SUA evoluează o </w:t>
      </w:r>
      <w:r w:rsidR="00E739D9">
        <w:t xml:space="preserve">epidemie de pneumonită chimică asociată consumului de țigări electronice care, la 5 noiembrie 2019, înregistra 2051 de cazuri în 48 din cele 50 de state SUA, cu 39 de decese din 24 de state (17). </w:t>
      </w:r>
    </w:p>
    <w:p w14:paraId="3242A9F8" w14:textId="03DF31B1" w:rsidR="00CA1EEE" w:rsidRDefault="00CA1EEE" w:rsidP="004708D8">
      <w:pPr>
        <w:spacing w:before="0" w:beforeAutospacing="0" w:after="120" w:afterAutospacing="0"/>
      </w:pPr>
      <w:r>
        <w:t>Sintezele internaționale au confirmat că segmentul de populație cel mai vulnerabil la expunerea la fumul</w:t>
      </w:r>
      <w:r w:rsidR="00E739D9">
        <w:t xml:space="preserve"> </w:t>
      </w:r>
      <w:r>
        <w:t>de tutun îl reprezintă copiii, în special în primii ani de viață, aceștia prezentând riscuri crescute pentru boli</w:t>
      </w:r>
      <w:r w:rsidR="00E739D9">
        <w:t xml:space="preserve"> </w:t>
      </w:r>
      <w:r>
        <w:t xml:space="preserve">ale tractului respirator superior și inferior. </w:t>
      </w:r>
      <w:r w:rsidR="00E739D9">
        <w:t>Peste</w:t>
      </w:r>
      <w:r>
        <w:t xml:space="preserve"> 40 de studii au demonstrat riscuri crescute</w:t>
      </w:r>
      <w:r w:rsidR="00E739D9">
        <w:t xml:space="preserve"> </w:t>
      </w:r>
      <w:r>
        <w:t>pentru boala tractului respirator inferior (de exemplu bronșită, bronșiolită, pneumonie); aceste afecțiuni au</w:t>
      </w:r>
      <w:r w:rsidR="00E739D9">
        <w:t xml:space="preserve"> </w:t>
      </w:r>
      <w:r>
        <w:t>fost legate în principal de fumatul părinților, fumatul matern fiind mai dăunător decât fumatul patern cu o</w:t>
      </w:r>
      <w:r w:rsidR="00E739D9">
        <w:t xml:space="preserve"> </w:t>
      </w:r>
      <w:r>
        <w:t>creștere corespunzătoare a riscului de 1,7 ori (IC 95% = 1,6-1,9), respectiv de 1,3 ori (95% IC = 1.2-1.4)</w:t>
      </w:r>
      <w:r w:rsidR="00E739D9">
        <w:t xml:space="preserve"> (</w:t>
      </w:r>
      <w:r>
        <w:t>1</w:t>
      </w:r>
      <w:r w:rsidR="00E739D9">
        <w:t>8)</w:t>
      </w:r>
      <w:r>
        <w:t>.</w:t>
      </w:r>
    </w:p>
    <w:p w14:paraId="490CB898" w14:textId="77777777" w:rsidR="00606586" w:rsidRDefault="00606586" w:rsidP="004708D8">
      <w:pPr>
        <w:spacing w:before="0" w:beforeAutospacing="0" w:after="120" w:afterAutospacing="0"/>
      </w:pPr>
    </w:p>
    <w:p w14:paraId="63CC559E" w14:textId="3661254B" w:rsidR="00E739D9" w:rsidRPr="00E739D9" w:rsidRDefault="00E739D9" w:rsidP="004708D8">
      <w:pPr>
        <w:spacing w:before="0" w:beforeAutospacing="0" w:after="120" w:afterAutospacing="0"/>
        <w:rPr>
          <w:b/>
          <w:bCs/>
          <w:i/>
          <w:iCs/>
        </w:rPr>
      </w:pPr>
      <w:r w:rsidRPr="00E739D9">
        <w:rPr>
          <w:b/>
          <w:bCs/>
          <w:i/>
          <w:iCs/>
        </w:rPr>
        <w:t>Mecanismul de ac</w:t>
      </w:r>
      <w:r>
        <w:rPr>
          <w:b/>
          <w:bCs/>
          <w:i/>
          <w:iCs/>
        </w:rPr>
        <w:t>ț</w:t>
      </w:r>
      <w:r w:rsidRPr="00E739D9">
        <w:rPr>
          <w:b/>
          <w:bCs/>
          <w:i/>
          <w:iCs/>
        </w:rPr>
        <w:t>iune (inducerea dependenţei de tutun)</w:t>
      </w:r>
    </w:p>
    <w:p w14:paraId="53E923F4" w14:textId="3593444F" w:rsidR="00D71D5D" w:rsidRDefault="00E739D9" w:rsidP="004708D8">
      <w:pPr>
        <w:spacing w:before="0" w:beforeAutospacing="0" w:after="120" w:afterAutospacing="0"/>
      </w:pPr>
      <w:r>
        <w:t>Conform OMS o persoană este considerată dependentă de o substanță atunci când aceasta are</w:t>
      </w:r>
      <w:r w:rsidR="004708D8">
        <w:t xml:space="preserve"> </w:t>
      </w:r>
      <w:r>
        <w:t>antecedente de consum cronic, cu următoarele caracteristici: abuz de substanţă, continuarea administrării</w:t>
      </w:r>
      <w:r w:rsidR="004708D8">
        <w:t xml:space="preserve"> </w:t>
      </w:r>
      <w:r>
        <w:t>substanţei în ciuda efectelor negative percepute, toleranţă mare la substanţă şi manifestarea simptomelor de</w:t>
      </w:r>
      <w:r w:rsidR="004708D8">
        <w:t xml:space="preserve"> </w:t>
      </w:r>
      <w:r>
        <w:t>sevraj la încercarea de a înceta consumul.</w:t>
      </w:r>
      <w:r w:rsidR="004708D8">
        <w:t xml:space="preserve"> </w:t>
      </w:r>
      <w:r>
        <w:t>Nicotina inhalată ajunge în circulaţia arterială a sângelui din creier, prin plămâni, în şapte – zece</w:t>
      </w:r>
      <w:r w:rsidR="004708D8">
        <w:t xml:space="preserve"> </w:t>
      </w:r>
      <w:r>
        <w:t>secunde. Aceasta se fixează la nivelul receptorilor acetilcolinici specifici (în principal receptorii acetilcolinici</w:t>
      </w:r>
      <w:r w:rsidR="004708D8">
        <w:t xml:space="preserve"> </w:t>
      </w:r>
      <w:r>
        <w:t>nicotinici alpha4 beta2) din aria nucleului accumbens, care stimulează eliberarea de neurotransmiţători,</w:t>
      </w:r>
      <w:r w:rsidR="004708D8">
        <w:t xml:space="preserve"> </w:t>
      </w:r>
      <w:r>
        <w:t>precum dopamina şi noradrenalina, fenomen care este perceput de către fumător ca o senzaţie de plăcere</w:t>
      </w:r>
      <w:r w:rsidR="004708D8">
        <w:t xml:space="preserve">. </w:t>
      </w:r>
      <w:r>
        <w:t>Această senzaţie reprezintă de fapt înlăturarea simptomelor precoce de sevraj, pe măsură ce</w:t>
      </w:r>
      <w:r w:rsidR="004708D8">
        <w:t xml:space="preserve"> </w:t>
      </w:r>
      <w:r>
        <w:t>nivelurile de nicotină cresc, în paralel cu stimularea receptorilor nicotinici. Principala caracteristică a</w:t>
      </w:r>
      <w:r w:rsidR="004708D8">
        <w:t xml:space="preserve"> </w:t>
      </w:r>
      <w:r>
        <w:t>dependenţei de nicotină este dorinţa de a resimţi efectele farmacologice ale nicotinei şi de a evita posibilele</w:t>
      </w:r>
      <w:r w:rsidR="004708D8">
        <w:t xml:space="preserve"> </w:t>
      </w:r>
      <w:r>
        <w:t>fenomene de sevraj şi asocierile lor condiţionate, pozitive (nicotina produce o stimulare psihoactivă) sau</w:t>
      </w:r>
      <w:r w:rsidR="004708D8">
        <w:t xml:space="preserve"> </w:t>
      </w:r>
      <w:r>
        <w:t>negative (disconfortul generat de absenţa nicotinei). Consumul unei ţigări scade pe moment dorinţa de a</w:t>
      </w:r>
      <w:r w:rsidR="004708D8">
        <w:t xml:space="preserve"> </w:t>
      </w:r>
      <w:r>
        <w:t>fuma, dar provoacă o desenzitivizare a receptorilor nicotinici şi totodată creşterea numărului acestora,</w:t>
      </w:r>
      <w:r w:rsidR="004708D8">
        <w:t xml:space="preserve"> </w:t>
      </w:r>
      <w:r>
        <w:t>precipitând nevoia pentru următoarea ţigară. Această stimulare continuă cauzată de consumul de tutun</w:t>
      </w:r>
      <w:r w:rsidR="004708D8">
        <w:t xml:space="preserve"> </w:t>
      </w:r>
      <w:r>
        <w:t>conduce la un consum cronic. În cursul perioadei de iniţiere a dependenţei tabagice, fumătorul va trebui să-şi</w:t>
      </w:r>
      <w:r w:rsidR="004708D8">
        <w:t xml:space="preserve"> </w:t>
      </w:r>
      <w:r>
        <w:t>crească cantitatea de nicotină administrată pentru a-și reinduce aceleaşi senzaţii intense. După perioada</w:t>
      </w:r>
      <w:r w:rsidR="004708D8">
        <w:t xml:space="preserve"> </w:t>
      </w:r>
      <w:r>
        <w:t>iniţială de adaptare, el/ea va avea nevoie de doza sa individuală de nicotină care să-i asigure o stare neutră şi</w:t>
      </w:r>
      <w:r w:rsidR="004708D8">
        <w:t xml:space="preserve"> </w:t>
      </w:r>
      <w:r>
        <w:t>să prevină instalarea fenomenelor de sevraj. Această adaptare morfologică care se petrece în sistemul</w:t>
      </w:r>
      <w:r w:rsidR="004708D8">
        <w:t xml:space="preserve"> </w:t>
      </w:r>
      <w:r>
        <w:t>nervos</w:t>
      </w:r>
      <w:r w:rsidR="004708D8">
        <w:t xml:space="preserve"> </w:t>
      </w:r>
      <w:r>
        <w:t xml:space="preserve">central corespunde fazei de dezvoltare a dependenţei fizice </w:t>
      </w:r>
      <w:r w:rsidR="004708D8">
        <w:t>(19)</w:t>
      </w:r>
    </w:p>
    <w:p w14:paraId="081275C4" w14:textId="77777777" w:rsidR="00606586" w:rsidRDefault="00606586" w:rsidP="0086028D">
      <w:pPr>
        <w:spacing w:before="0" w:beforeAutospacing="0" w:after="120" w:afterAutospacing="0"/>
        <w:rPr>
          <w:b/>
          <w:bCs/>
        </w:rPr>
      </w:pPr>
    </w:p>
    <w:p w14:paraId="473C8BD0" w14:textId="77777777" w:rsidR="00606586" w:rsidRDefault="00606586" w:rsidP="0086028D">
      <w:pPr>
        <w:spacing w:before="0" w:beforeAutospacing="0" w:after="120" w:afterAutospacing="0"/>
        <w:rPr>
          <w:b/>
          <w:bCs/>
        </w:rPr>
      </w:pPr>
    </w:p>
    <w:p w14:paraId="78CC7975" w14:textId="77777777" w:rsidR="00606586" w:rsidRDefault="00606586" w:rsidP="0086028D">
      <w:pPr>
        <w:spacing w:before="0" w:beforeAutospacing="0" w:after="120" w:afterAutospacing="0"/>
        <w:rPr>
          <w:b/>
          <w:bCs/>
        </w:rPr>
      </w:pPr>
    </w:p>
    <w:p w14:paraId="70C07132" w14:textId="22AFC373" w:rsidR="00D71D5D" w:rsidRPr="009C6B69" w:rsidRDefault="0039721C" w:rsidP="0086028D">
      <w:pPr>
        <w:spacing w:before="0" w:beforeAutospacing="0" w:after="120" w:afterAutospacing="0"/>
        <w:rPr>
          <w:lang w:val="fr-FR"/>
        </w:rPr>
      </w:pPr>
      <w:r w:rsidRPr="004059FB">
        <w:rPr>
          <w:b/>
          <w:bCs/>
        </w:rPr>
        <w:lastRenderedPageBreak/>
        <w:t>III.</w:t>
      </w:r>
      <w:r>
        <w:t xml:space="preserve"> </w:t>
      </w:r>
      <w:proofErr w:type="spellStart"/>
      <w:r w:rsidR="009C6B69" w:rsidRPr="009C6B69">
        <w:rPr>
          <w:rFonts w:ascii="Times New Roman,BoldItalic" w:hAnsi="Times New Roman,BoldItalic" w:cs="Times New Roman,BoldItalic"/>
          <w:b/>
          <w:bCs/>
          <w:i/>
          <w:iCs/>
          <w:lang w:val="fr-FR"/>
        </w:rPr>
        <w:t>Politici</w:t>
      </w:r>
      <w:proofErr w:type="spellEnd"/>
      <w:r w:rsidR="009C6B69" w:rsidRPr="009C6B69">
        <w:rPr>
          <w:rFonts w:ascii="Times New Roman,BoldItalic" w:hAnsi="Times New Roman,BoldItalic" w:cs="Times New Roman,BoldItalic"/>
          <w:b/>
          <w:bCs/>
          <w:i/>
          <w:iCs/>
          <w:lang w:val="fr-FR"/>
        </w:rPr>
        <w:t xml:space="preserve">, </w:t>
      </w:r>
      <w:proofErr w:type="spellStart"/>
      <w:r w:rsidR="009C6B69" w:rsidRPr="009C6B69">
        <w:rPr>
          <w:rFonts w:ascii="Times New Roman,BoldItalic" w:hAnsi="Times New Roman,BoldItalic" w:cs="Times New Roman,BoldItalic"/>
          <w:b/>
          <w:bCs/>
          <w:i/>
          <w:iCs/>
          <w:lang w:val="fr-FR"/>
        </w:rPr>
        <w:t>strategii</w:t>
      </w:r>
      <w:proofErr w:type="spellEnd"/>
      <w:r w:rsidR="009C6B69" w:rsidRPr="009C6B69">
        <w:rPr>
          <w:rFonts w:ascii="Times New Roman,BoldItalic" w:hAnsi="Times New Roman,BoldItalic" w:cs="Times New Roman,BoldItalic"/>
          <w:b/>
          <w:bCs/>
          <w:i/>
          <w:iCs/>
          <w:lang w:val="fr-FR"/>
        </w:rPr>
        <w:t xml:space="preserve"> </w:t>
      </w:r>
      <w:proofErr w:type="spellStart"/>
      <w:r w:rsidR="009C6B69" w:rsidRPr="009C6B69">
        <w:rPr>
          <w:rFonts w:ascii="Times New Roman,BoldItalic" w:hAnsi="Times New Roman,BoldItalic" w:cs="Times New Roman,BoldItalic"/>
          <w:b/>
          <w:bCs/>
          <w:i/>
          <w:iCs/>
          <w:lang w:val="fr-FR"/>
        </w:rPr>
        <w:t>ș</w:t>
      </w:r>
      <w:r w:rsidR="009C6B69" w:rsidRPr="009C6B69">
        <w:rPr>
          <w:b/>
          <w:bCs/>
          <w:i/>
          <w:iCs/>
          <w:lang w:val="fr-FR"/>
        </w:rPr>
        <w:t>i</w:t>
      </w:r>
      <w:proofErr w:type="spellEnd"/>
      <w:r w:rsidR="009C6B69" w:rsidRPr="009C6B69">
        <w:rPr>
          <w:b/>
          <w:bCs/>
          <w:i/>
          <w:iCs/>
          <w:lang w:val="fr-FR"/>
        </w:rPr>
        <w:t xml:space="preserve"> </w:t>
      </w:r>
      <w:proofErr w:type="spellStart"/>
      <w:r w:rsidR="009C6B69" w:rsidRPr="009C6B69">
        <w:rPr>
          <w:b/>
          <w:bCs/>
          <w:i/>
          <w:iCs/>
          <w:lang w:val="fr-FR"/>
        </w:rPr>
        <w:t>prog</w:t>
      </w:r>
      <w:r w:rsidR="009C6B69" w:rsidRPr="009C6B69">
        <w:rPr>
          <w:rFonts w:ascii="Times New Roman,BoldItalic" w:hAnsi="Times New Roman,BoldItalic" w:cs="Times New Roman,BoldItalic"/>
          <w:b/>
          <w:bCs/>
          <w:i/>
          <w:iCs/>
          <w:lang w:val="fr-FR"/>
        </w:rPr>
        <w:t>rame</w:t>
      </w:r>
      <w:proofErr w:type="spellEnd"/>
      <w:r w:rsidR="009C6B69" w:rsidRPr="009C6B69">
        <w:rPr>
          <w:rFonts w:ascii="Times New Roman,BoldItalic" w:hAnsi="Times New Roman,BoldItalic" w:cs="Times New Roman,BoldItalic"/>
          <w:b/>
          <w:bCs/>
          <w:i/>
          <w:iCs/>
          <w:lang w:val="fr-FR"/>
        </w:rPr>
        <w:t xml:space="preserve"> </w:t>
      </w:r>
      <w:proofErr w:type="spellStart"/>
      <w:r w:rsidR="009C6B69" w:rsidRPr="009C6B69">
        <w:rPr>
          <w:rFonts w:ascii="Times New Roman,BoldItalic" w:hAnsi="Times New Roman,BoldItalic" w:cs="Times New Roman,BoldItalic"/>
          <w:b/>
          <w:bCs/>
          <w:i/>
          <w:iCs/>
          <w:lang w:val="fr-FR"/>
        </w:rPr>
        <w:t>existente</w:t>
      </w:r>
      <w:proofErr w:type="spellEnd"/>
      <w:r w:rsidR="009C6B69" w:rsidRPr="009C6B69">
        <w:rPr>
          <w:rFonts w:ascii="Times New Roman,BoldItalic" w:hAnsi="Times New Roman,BoldItalic" w:cs="Times New Roman,BoldItalic"/>
          <w:b/>
          <w:bCs/>
          <w:i/>
          <w:iCs/>
          <w:lang w:val="fr-FR"/>
        </w:rPr>
        <w:t xml:space="preserve"> la </w:t>
      </w:r>
      <w:proofErr w:type="spellStart"/>
      <w:r w:rsidR="009C6B69" w:rsidRPr="009C6B69">
        <w:rPr>
          <w:rFonts w:ascii="Times New Roman,BoldItalic" w:hAnsi="Times New Roman,BoldItalic" w:cs="Times New Roman,BoldItalic"/>
          <w:b/>
          <w:bCs/>
          <w:i/>
          <w:iCs/>
          <w:lang w:val="fr-FR"/>
        </w:rPr>
        <w:t>nivel</w:t>
      </w:r>
      <w:proofErr w:type="spellEnd"/>
      <w:r w:rsidR="009C6B69" w:rsidRPr="009C6B69">
        <w:rPr>
          <w:rFonts w:ascii="Times New Roman,BoldItalic" w:hAnsi="Times New Roman,BoldItalic" w:cs="Times New Roman,BoldItalic"/>
          <w:b/>
          <w:bCs/>
          <w:i/>
          <w:iCs/>
          <w:lang w:val="fr-FR"/>
        </w:rPr>
        <w:t xml:space="preserve"> global </w:t>
      </w:r>
      <w:proofErr w:type="spellStart"/>
      <w:r w:rsidR="009C6B69" w:rsidRPr="009C6B69">
        <w:rPr>
          <w:rFonts w:ascii="Times New Roman,BoldItalic" w:hAnsi="Times New Roman,BoldItalic" w:cs="Times New Roman,BoldItalic"/>
          <w:b/>
          <w:bCs/>
          <w:i/>
          <w:iCs/>
          <w:lang w:val="fr-FR"/>
        </w:rPr>
        <w:t>și</w:t>
      </w:r>
      <w:proofErr w:type="spellEnd"/>
      <w:r w:rsidR="009C6B69" w:rsidRPr="009C6B69">
        <w:rPr>
          <w:rFonts w:ascii="Times New Roman,BoldItalic" w:hAnsi="Times New Roman,BoldItalic" w:cs="Times New Roman,BoldItalic"/>
          <w:b/>
          <w:bCs/>
          <w:i/>
          <w:iCs/>
          <w:lang w:val="fr-FR"/>
        </w:rPr>
        <w:t xml:space="preserve"> </w:t>
      </w:r>
      <w:proofErr w:type="spellStart"/>
      <w:r w:rsidR="009C6B69" w:rsidRPr="009C6B69">
        <w:rPr>
          <w:rFonts w:ascii="Times New Roman,BoldItalic" w:hAnsi="Times New Roman,BoldItalic" w:cs="Times New Roman,BoldItalic"/>
          <w:b/>
          <w:bCs/>
          <w:i/>
          <w:iCs/>
          <w:lang w:val="fr-FR"/>
        </w:rPr>
        <w:t>naț</w:t>
      </w:r>
      <w:r w:rsidR="009C6B69" w:rsidRPr="009C6B69">
        <w:rPr>
          <w:b/>
          <w:bCs/>
          <w:i/>
          <w:iCs/>
          <w:lang w:val="fr-FR"/>
        </w:rPr>
        <w:t>ional</w:t>
      </w:r>
      <w:proofErr w:type="spellEnd"/>
    </w:p>
    <w:p w14:paraId="40AE157E" w14:textId="6577FE1E" w:rsidR="00CA35B6" w:rsidRDefault="009C6B69" w:rsidP="00CA35B6">
      <w:pPr>
        <w:spacing w:before="0" w:beforeAutospacing="0" w:after="120" w:afterAutospacing="0"/>
      </w:pPr>
      <w:r w:rsidRPr="000A0C20">
        <w:rPr>
          <w:rFonts w:asciiTheme="majorHAnsi" w:hAnsiTheme="majorHAnsi"/>
          <w:noProof/>
          <w:lang w:val="en-US"/>
        </w:rPr>
        <w:drawing>
          <wp:anchor distT="0" distB="0" distL="114300" distR="114300" simplePos="0" relativeHeight="251657216" behindDoc="0" locked="0" layoutInCell="1" allowOverlap="1" wp14:anchorId="2531FBD3" wp14:editId="78295419">
            <wp:simplePos x="0" y="0"/>
            <wp:positionH relativeFrom="column">
              <wp:posOffset>66675</wp:posOffset>
            </wp:positionH>
            <wp:positionV relativeFrom="paragraph">
              <wp:posOffset>544195</wp:posOffset>
            </wp:positionV>
            <wp:extent cx="3429000" cy="16383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0" cy="1638300"/>
                    </a:xfrm>
                    <a:prstGeom prst="rect">
                      <a:avLst/>
                    </a:prstGeom>
                    <a:noFill/>
                    <a:ln>
                      <a:noFill/>
                    </a:ln>
                  </pic:spPr>
                </pic:pic>
              </a:graphicData>
            </a:graphic>
          </wp:anchor>
        </w:drawing>
      </w:r>
      <w:r w:rsidR="0039721C">
        <w:t xml:space="preserve">Organizația Mondială a Sănătății (OMS), Inițiativa fără Tutun (Tobacco Free Initiative -TFI) militează peantru a reduce povara globală a bolilor și deceselor cauzate de consumul de tutun. Eforturi internaționale sub egida OMS, au avut ca rezultat  </w:t>
      </w:r>
      <w:r w:rsidR="0039721C">
        <w:rPr>
          <w:shd w:val="clear" w:color="auto" w:fill="FFFFFF"/>
        </w:rPr>
        <w:t xml:space="preserve">intrarea rapidă în vigoare a Convenţiei Cadru privind Controlul Tutunului a OMS (CCCT OMS), piatra de temelie în lupta globală împotriva epidemiei de tutun </w:t>
      </w:r>
      <w:r w:rsidR="0039721C">
        <w:t xml:space="preserve">(20). Părțile  </w:t>
      </w:r>
      <w:r w:rsidR="0039721C">
        <w:rPr>
          <w:shd w:val="clear" w:color="auto" w:fill="FFFFFF"/>
        </w:rPr>
        <w:t>CCCT OMS s-au angajat să protejeze sănătatea populaţiei lor, prin aderarea la această luptă. CCCT încurajează ţările să adere la principiile sale şi TFI. Prin pachetul de politici MPOWER, parte integrantă a Planului de acţiune pentru prevenirea şi controlul al bolilor netransmisibile al OMS, sprijină ţările în eforturile pentru punerea în aplicare a măsurilor de control al tutunului. În acest cadru, monitorizarea epidemiei de tutun, folosind un sistem de supraveghere eficient apare ca o componentă esenţială a unui program global de control</w:t>
      </w:r>
      <w:r w:rsidR="0039721C">
        <w:t xml:space="preserve"> </w:t>
      </w:r>
      <w:r>
        <w:t>(21)</w:t>
      </w:r>
      <w:r w:rsidR="0039721C">
        <w:t xml:space="preserve">.  </w:t>
      </w:r>
    </w:p>
    <w:p w14:paraId="0EAFE79D" w14:textId="3D6BD432" w:rsidR="000D0FF4" w:rsidRPr="000D0FF4" w:rsidRDefault="000D0FF4" w:rsidP="000D0FF4">
      <w:pPr>
        <w:autoSpaceDE w:val="0"/>
        <w:autoSpaceDN w:val="0"/>
        <w:adjustRightInd w:val="0"/>
        <w:spacing w:before="0" w:beforeAutospacing="0" w:after="0" w:afterAutospacing="0"/>
        <w:jc w:val="left"/>
        <w:rPr>
          <w:rFonts w:ascii="Cambria" w:hAnsi="Cambria" w:cs="Cambria"/>
          <w:color w:val="000000"/>
          <w:sz w:val="23"/>
          <w:szCs w:val="23"/>
          <w:lang w:val="fr-FR"/>
        </w:rPr>
      </w:pPr>
      <w:r>
        <w:rPr>
          <w:rFonts w:ascii="Cambria" w:hAnsi="Cambria" w:cs="Cambria"/>
          <w:color w:val="000000"/>
          <w:sz w:val="23"/>
          <w:szCs w:val="23"/>
          <w:lang w:val="fr-FR"/>
        </w:rPr>
        <w:t xml:space="preserve">Alte instrumente, la </w:t>
      </w:r>
      <w:proofErr w:type="spellStart"/>
      <w:r>
        <w:rPr>
          <w:rFonts w:ascii="Cambria" w:hAnsi="Cambria" w:cs="Cambria"/>
          <w:color w:val="000000"/>
          <w:sz w:val="23"/>
          <w:szCs w:val="23"/>
          <w:lang w:val="fr-FR"/>
        </w:rPr>
        <w:t>nivel</w:t>
      </w:r>
      <w:proofErr w:type="spellEnd"/>
      <w:r>
        <w:rPr>
          <w:rFonts w:ascii="Cambria" w:hAnsi="Cambria" w:cs="Cambria"/>
          <w:color w:val="000000"/>
          <w:sz w:val="23"/>
          <w:szCs w:val="23"/>
          <w:lang w:val="fr-FR"/>
        </w:rPr>
        <w:t xml:space="preserve"> </w:t>
      </w:r>
      <w:proofErr w:type="spellStart"/>
      <w:r>
        <w:rPr>
          <w:rFonts w:ascii="Cambria" w:hAnsi="Cambria" w:cs="Cambria"/>
          <w:color w:val="000000"/>
          <w:sz w:val="23"/>
          <w:szCs w:val="23"/>
          <w:lang w:val="fr-FR"/>
        </w:rPr>
        <w:t>internațional</w:t>
      </w:r>
      <w:proofErr w:type="spellEnd"/>
      <w:r>
        <w:rPr>
          <w:rFonts w:ascii="Cambria" w:hAnsi="Cambria" w:cs="Cambria"/>
          <w:color w:val="000000"/>
          <w:sz w:val="23"/>
          <w:szCs w:val="23"/>
          <w:lang w:val="fr-FR"/>
        </w:rPr>
        <w:t xml:space="preserve"> </w:t>
      </w:r>
      <w:proofErr w:type="spellStart"/>
      <w:r>
        <w:rPr>
          <w:rFonts w:ascii="Cambria" w:hAnsi="Cambria" w:cs="Cambria"/>
          <w:color w:val="000000"/>
          <w:sz w:val="23"/>
          <w:szCs w:val="23"/>
          <w:lang w:val="fr-FR"/>
        </w:rPr>
        <w:t>sunt</w:t>
      </w:r>
      <w:proofErr w:type="spellEnd"/>
      <w:r w:rsidRPr="000D0FF4">
        <w:rPr>
          <w:rFonts w:ascii="Cambria" w:hAnsi="Cambria" w:cs="Cambria"/>
          <w:color w:val="000000"/>
          <w:sz w:val="23"/>
          <w:szCs w:val="23"/>
          <w:lang w:val="fr-FR"/>
        </w:rPr>
        <w:t xml:space="preserve">: </w:t>
      </w:r>
    </w:p>
    <w:p w14:paraId="0D551D1F" w14:textId="77777777" w:rsidR="000D0FF4" w:rsidRPr="000D0FF4" w:rsidRDefault="000D0FF4" w:rsidP="000D0FF4">
      <w:pPr>
        <w:autoSpaceDE w:val="0"/>
        <w:autoSpaceDN w:val="0"/>
        <w:adjustRightInd w:val="0"/>
        <w:spacing w:before="0" w:beforeAutospacing="0" w:after="0" w:afterAutospacing="0"/>
        <w:jc w:val="left"/>
        <w:rPr>
          <w:rFonts w:ascii="Cambria" w:eastAsia="MS Mincho" w:hAnsi="Cambria" w:cs="Cambria"/>
          <w:color w:val="000000"/>
          <w:sz w:val="23"/>
          <w:szCs w:val="23"/>
          <w:lang w:val="fr-FR"/>
        </w:rPr>
      </w:pPr>
      <w:r w:rsidRPr="000D0FF4">
        <w:rPr>
          <w:rFonts w:ascii="MS Mincho" w:eastAsia="MS Mincho" w:hAnsi="Cambria" w:cs="MS Mincho" w:hint="eastAsia"/>
          <w:color w:val="000000"/>
          <w:sz w:val="23"/>
          <w:szCs w:val="23"/>
          <w:lang w:val="fr-FR"/>
        </w:rPr>
        <w:t>➢</w:t>
      </w:r>
      <w:r w:rsidRPr="000D0FF4">
        <w:rPr>
          <w:rFonts w:ascii="MS Mincho" w:eastAsia="MS Mincho" w:hAnsi="Cambria" w:cs="MS Mincho"/>
          <w:color w:val="000000"/>
          <w:sz w:val="23"/>
          <w:szCs w:val="23"/>
          <w:lang w:val="fr-FR"/>
        </w:rPr>
        <w:t xml:space="preserve"> </w:t>
      </w:r>
      <w:r w:rsidRPr="000D0FF4">
        <w:rPr>
          <w:rFonts w:ascii="Cambria" w:eastAsia="MS Mincho" w:hAnsi="Cambria" w:cs="Cambria"/>
          <w:b/>
          <w:bCs/>
          <w:color w:val="000000"/>
          <w:sz w:val="23"/>
          <w:szCs w:val="23"/>
          <w:lang w:val="fr-FR"/>
        </w:rPr>
        <w:t xml:space="preserve">Agenda 2030 a </w:t>
      </w:r>
      <w:proofErr w:type="spellStart"/>
      <w:r w:rsidRPr="000D0FF4">
        <w:rPr>
          <w:rFonts w:ascii="Cambria" w:eastAsia="MS Mincho" w:hAnsi="Cambria" w:cs="Cambria"/>
          <w:b/>
          <w:bCs/>
          <w:color w:val="000000"/>
          <w:sz w:val="23"/>
          <w:szCs w:val="23"/>
          <w:lang w:val="fr-FR"/>
        </w:rPr>
        <w:t>Naţiunilor</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Unite</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pentru</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Dezvoltare</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Durabilă</w:t>
      </w:r>
      <w:proofErr w:type="spellEnd"/>
      <w:r w:rsidRPr="000D0FF4">
        <w:rPr>
          <w:rFonts w:ascii="Cambria" w:eastAsia="MS Mincho" w:hAnsi="Cambria" w:cs="Cambria"/>
          <w:b/>
          <w:bCs/>
          <w:color w:val="000000"/>
          <w:sz w:val="23"/>
          <w:szCs w:val="23"/>
          <w:lang w:val="fr-FR"/>
        </w:rPr>
        <w:t xml:space="preserve"> </w:t>
      </w:r>
    </w:p>
    <w:p w14:paraId="154AF2C0" w14:textId="77777777" w:rsidR="000D0FF4" w:rsidRPr="000D0FF4" w:rsidRDefault="000D0FF4" w:rsidP="000D0FF4">
      <w:pPr>
        <w:autoSpaceDE w:val="0"/>
        <w:autoSpaceDN w:val="0"/>
        <w:adjustRightInd w:val="0"/>
        <w:spacing w:before="0" w:beforeAutospacing="0" w:after="0" w:afterAutospacing="0"/>
        <w:jc w:val="left"/>
        <w:rPr>
          <w:rFonts w:ascii="Cambria" w:eastAsia="MS Mincho" w:hAnsi="Cambria" w:cs="Cambria"/>
          <w:color w:val="000000"/>
          <w:sz w:val="23"/>
          <w:szCs w:val="23"/>
          <w:lang w:val="fr-FR"/>
        </w:rPr>
      </w:pPr>
      <w:r w:rsidRPr="000D0FF4">
        <w:rPr>
          <w:rFonts w:ascii="MS Mincho" w:eastAsia="MS Mincho" w:hAnsi="Cambria" w:cs="MS Mincho" w:hint="eastAsia"/>
          <w:color w:val="000000"/>
          <w:sz w:val="23"/>
          <w:szCs w:val="23"/>
          <w:lang w:val="fr-FR"/>
        </w:rPr>
        <w:t>➢</w:t>
      </w:r>
      <w:r w:rsidRPr="000D0FF4">
        <w:rPr>
          <w:rFonts w:ascii="MS Mincho" w:eastAsia="MS Mincho" w:hAnsi="Cambria" w:cs="MS Mincho"/>
          <w:color w:val="000000"/>
          <w:sz w:val="23"/>
          <w:szCs w:val="23"/>
          <w:lang w:val="fr-FR"/>
        </w:rPr>
        <w:t xml:space="preserve"> </w:t>
      </w:r>
      <w:proofErr w:type="spellStart"/>
      <w:r w:rsidRPr="000D0FF4">
        <w:rPr>
          <w:rFonts w:ascii="Cambria" w:eastAsia="MS Mincho" w:hAnsi="Cambria" w:cs="Cambria"/>
          <w:color w:val="000000"/>
          <w:sz w:val="23"/>
          <w:szCs w:val="23"/>
          <w:lang w:val="fr-FR"/>
        </w:rPr>
        <w:t>Principiul</w:t>
      </w:r>
      <w:proofErr w:type="spellEnd"/>
      <w:r w:rsidRPr="000D0FF4">
        <w:rPr>
          <w:rFonts w:ascii="Cambria" w:eastAsia="MS Mincho" w:hAnsi="Cambria" w:cs="Cambria"/>
          <w:color w:val="000000"/>
          <w:sz w:val="23"/>
          <w:szCs w:val="23"/>
          <w:lang w:val="fr-FR"/>
        </w:rPr>
        <w:t xml:space="preserve"> </w:t>
      </w:r>
      <w:proofErr w:type="spellStart"/>
      <w:proofErr w:type="gramStart"/>
      <w:r w:rsidRPr="000D0FF4">
        <w:rPr>
          <w:rFonts w:ascii="Cambria" w:eastAsia="MS Mincho" w:hAnsi="Cambria" w:cs="Cambria"/>
          <w:color w:val="000000"/>
          <w:sz w:val="23"/>
          <w:szCs w:val="23"/>
          <w:lang w:val="fr-FR"/>
        </w:rPr>
        <w:t>european</w:t>
      </w:r>
      <w:proofErr w:type="spellEnd"/>
      <w:proofErr w:type="gramEnd"/>
      <w:r w:rsidRPr="000D0FF4">
        <w:rPr>
          <w:rFonts w:ascii="Cambria" w:eastAsia="MS Mincho" w:hAnsi="Cambria" w:cs="Cambria"/>
          <w:color w:val="000000"/>
          <w:sz w:val="23"/>
          <w:szCs w:val="23"/>
          <w:lang w:val="fr-FR"/>
        </w:rPr>
        <w:t xml:space="preserve"> de </w:t>
      </w:r>
      <w:proofErr w:type="spellStart"/>
      <w:r w:rsidRPr="000D0FF4">
        <w:rPr>
          <w:rFonts w:ascii="Cambria" w:eastAsia="MS Mincho" w:hAnsi="Cambria" w:cs="Cambria"/>
          <w:color w:val="000000"/>
          <w:sz w:val="23"/>
          <w:szCs w:val="23"/>
          <w:lang w:val="fr-FR"/>
        </w:rPr>
        <w:t>bună</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guvernare</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i/>
          <w:iCs/>
          <w:color w:val="000000"/>
          <w:sz w:val="23"/>
          <w:szCs w:val="23"/>
          <w:lang w:val="fr-FR"/>
        </w:rPr>
        <w:t>Sănătate</w:t>
      </w:r>
      <w:proofErr w:type="spellEnd"/>
      <w:r w:rsidRPr="000D0FF4">
        <w:rPr>
          <w:rFonts w:ascii="Cambria" w:eastAsia="MS Mincho" w:hAnsi="Cambria" w:cs="Cambria"/>
          <w:i/>
          <w:iCs/>
          <w:color w:val="000000"/>
          <w:sz w:val="23"/>
          <w:szCs w:val="23"/>
          <w:lang w:val="fr-FR"/>
        </w:rPr>
        <w:t xml:space="preserve"> </w:t>
      </w:r>
      <w:proofErr w:type="spellStart"/>
      <w:r w:rsidRPr="000D0FF4">
        <w:rPr>
          <w:rFonts w:ascii="Cambria" w:eastAsia="MS Mincho" w:hAnsi="Cambria" w:cs="Cambria"/>
          <w:i/>
          <w:iCs/>
          <w:color w:val="000000"/>
          <w:sz w:val="23"/>
          <w:szCs w:val="23"/>
          <w:lang w:val="fr-FR"/>
        </w:rPr>
        <w:t>în</w:t>
      </w:r>
      <w:proofErr w:type="spellEnd"/>
      <w:r w:rsidRPr="000D0FF4">
        <w:rPr>
          <w:rFonts w:ascii="Cambria" w:eastAsia="MS Mincho" w:hAnsi="Cambria" w:cs="Cambria"/>
          <w:i/>
          <w:iCs/>
          <w:color w:val="000000"/>
          <w:sz w:val="23"/>
          <w:szCs w:val="23"/>
          <w:lang w:val="fr-FR"/>
        </w:rPr>
        <w:t xml:space="preserve"> </w:t>
      </w:r>
      <w:proofErr w:type="spellStart"/>
      <w:r w:rsidRPr="000D0FF4">
        <w:rPr>
          <w:rFonts w:ascii="Cambria" w:eastAsia="MS Mincho" w:hAnsi="Cambria" w:cs="Cambria"/>
          <w:i/>
          <w:iCs/>
          <w:color w:val="000000"/>
          <w:sz w:val="23"/>
          <w:szCs w:val="23"/>
          <w:lang w:val="fr-FR"/>
        </w:rPr>
        <w:t>toate</w:t>
      </w:r>
      <w:proofErr w:type="spellEnd"/>
      <w:r w:rsidRPr="000D0FF4">
        <w:rPr>
          <w:rFonts w:ascii="Cambria" w:eastAsia="MS Mincho" w:hAnsi="Cambria" w:cs="Cambria"/>
          <w:i/>
          <w:iCs/>
          <w:color w:val="000000"/>
          <w:sz w:val="23"/>
          <w:szCs w:val="23"/>
          <w:lang w:val="fr-FR"/>
        </w:rPr>
        <w:t xml:space="preserve"> </w:t>
      </w:r>
      <w:proofErr w:type="spellStart"/>
      <w:r w:rsidRPr="000D0FF4">
        <w:rPr>
          <w:rFonts w:ascii="Cambria" w:eastAsia="MS Mincho" w:hAnsi="Cambria" w:cs="Cambria"/>
          <w:i/>
          <w:iCs/>
          <w:color w:val="000000"/>
          <w:sz w:val="23"/>
          <w:szCs w:val="23"/>
          <w:lang w:val="fr-FR"/>
        </w:rPr>
        <w:t>politicile</w:t>
      </w:r>
      <w:proofErr w:type="spellEnd"/>
      <w:r w:rsidRPr="000D0FF4">
        <w:rPr>
          <w:rFonts w:ascii="Cambria" w:eastAsia="MS Mincho" w:hAnsi="Cambria" w:cs="Cambria"/>
          <w:i/>
          <w:iCs/>
          <w:color w:val="000000"/>
          <w:sz w:val="23"/>
          <w:szCs w:val="23"/>
          <w:lang w:val="fr-FR"/>
        </w:rPr>
        <w:t xml:space="preserve"> </w:t>
      </w:r>
    </w:p>
    <w:p w14:paraId="774F63F9" w14:textId="77777777" w:rsidR="000D0FF4" w:rsidRPr="000D0FF4" w:rsidRDefault="000D0FF4" w:rsidP="000D0FF4">
      <w:pPr>
        <w:autoSpaceDE w:val="0"/>
        <w:autoSpaceDN w:val="0"/>
        <w:adjustRightInd w:val="0"/>
        <w:spacing w:before="0" w:beforeAutospacing="0" w:after="0" w:afterAutospacing="0"/>
        <w:jc w:val="left"/>
        <w:rPr>
          <w:rFonts w:ascii="Cambria" w:eastAsia="MS Mincho" w:hAnsi="Cambria" w:cs="Cambria"/>
          <w:color w:val="000000"/>
          <w:sz w:val="23"/>
          <w:szCs w:val="23"/>
          <w:lang w:val="fr-FR"/>
        </w:rPr>
      </w:pPr>
      <w:r w:rsidRPr="000D0FF4">
        <w:rPr>
          <w:rFonts w:ascii="MS Mincho" w:eastAsia="MS Mincho" w:hAnsi="Cambria" w:cs="MS Mincho" w:hint="eastAsia"/>
          <w:color w:val="000000"/>
          <w:sz w:val="23"/>
          <w:szCs w:val="23"/>
          <w:lang w:val="fr-FR"/>
        </w:rPr>
        <w:t>➢</w:t>
      </w:r>
      <w:r w:rsidRPr="000D0FF4">
        <w:rPr>
          <w:rFonts w:ascii="MS Mincho" w:eastAsia="MS Mincho" w:hAnsi="Cambria" w:cs="MS Mincho"/>
          <w:color w:val="000000"/>
          <w:sz w:val="23"/>
          <w:szCs w:val="23"/>
          <w:lang w:val="fr-FR"/>
        </w:rPr>
        <w:t xml:space="preserve"> </w:t>
      </w:r>
      <w:proofErr w:type="spellStart"/>
      <w:r w:rsidRPr="000D0FF4">
        <w:rPr>
          <w:rFonts w:ascii="Cambria" w:eastAsia="MS Mincho" w:hAnsi="Cambria" w:cs="Cambria"/>
          <w:b/>
          <w:bCs/>
          <w:color w:val="000000"/>
          <w:sz w:val="23"/>
          <w:szCs w:val="23"/>
          <w:lang w:val="fr-FR"/>
        </w:rPr>
        <w:t>Directiva</w:t>
      </w:r>
      <w:proofErr w:type="spellEnd"/>
      <w:r w:rsidRPr="000D0FF4">
        <w:rPr>
          <w:rFonts w:ascii="Cambria" w:eastAsia="MS Mincho" w:hAnsi="Cambria" w:cs="Cambria"/>
          <w:b/>
          <w:bCs/>
          <w:color w:val="000000"/>
          <w:sz w:val="23"/>
          <w:szCs w:val="23"/>
          <w:lang w:val="fr-FR"/>
        </w:rPr>
        <w:t xml:space="preserve"> CE nr. 2014/40/CE </w:t>
      </w:r>
      <w:proofErr w:type="spellStart"/>
      <w:r w:rsidRPr="000D0FF4">
        <w:rPr>
          <w:rFonts w:ascii="Cambria" w:eastAsia="MS Mincho" w:hAnsi="Cambria" w:cs="Cambria"/>
          <w:b/>
          <w:bCs/>
          <w:color w:val="000000"/>
          <w:sz w:val="23"/>
          <w:szCs w:val="23"/>
          <w:lang w:val="fr-FR"/>
        </w:rPr>
        <w:t>privind</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produsele</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din</w:t>
      </w:r>
      <w:proofErr w:type="spellEnd"/>
      <w:r w:rsidRPr="000D0FF4">
        <w:rPr>
          <w:rFonts w:ascii="Cambria" w:eastAsia="MS Mincho" w:hAnsi="Cambria" w:cs="Cambria"/>
          <w:b/>
          <w:bCs/>
          <w:color w:val="000000"/>
          <w:sz w:val="23"/>
          <w:szCs w:val="23"/>
          <w:lang w:val="fr-FR"/>
        </w:rPr>
        <w:t xml:space="preserve"> </w:t>
      </w:r>
      <w:proofErr w:type="spellStart"/>
      <w:r w:rsidRPr="000D0FF4">
        <w:rPr>
          <w:rFonts w:ascii="Cambria" w:eastAsia="MS Mincho" w:hAnsi="Cambria" w:cs="Cambria"/>
          <w:b/>
          <w:bCs/>
          <w:color w:val="000000"/>
          <w:sz w:val="23"/>
          <w:szCs w:val="23"/>
          <w:lang w:val="fr-FR"/>
        </w:rPr>
        <w:t>tutun</w:t>
      </w:r>
      <w:proofErr w:type="spellEnd"/>
      <w:r w:rsidRPr="000D0FF4">
        <w:rPr>
          <w:rFonts w:ascii="Cambria" w:eastAsia="MS Mincho" w:hAnsi="Cambria" w:cs="Cambria"/>
          <w:color w:val="000000"/>
          <w:sz w:val="23"/>
          <w:szCs w:val="23"/>
          <w:lang w:val="fr-FR"/>
        </w:rPr>
        <w:t xml:space="preserve">, ale </w:t>
      </w:r>
      <w:proofErr w:type="spellStart"/>
      <w:r w:rsidRPr="000D0FF4">
        <w:rPr>
          <w:rFonts w:ascii="Cambria" w:eastAsia="MS Mincho" w:hAnsi="Cambria" w:cs="Cambria"/>
          <w:color w:val="000000"/>
          <w:sz w:val="23"/>
          <w:szCs w:val="23"/>
          <w:lang w:val="fr-FR"/>
        </w:rPr>
        <w:t>cărei</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prevederi</w:t>
      </w:r>
      <w:proofErr w:type="spellEnd"/>
      <w:r w:rsidRPr="000D0FF4">
        <w:rPr>
          <w:rFonts w:ascii="Cambria" w:eastAsia="MS Mincho" w:hAnsi="Cambria" w:cs="Cambria"/>
          <w:color w:val="000000"/>
          <w:sz w:val="23"/>
          <w:szCs w:val="23"/>
          <w:lang w:val="fr-FR"/>
        </w:rPr>
        <w:t xml:space="preserve"> au </w:t>
      </w:r>
      <w:proofErr w:type="spellStart"/>
      <w:r w:rsidRPr="000D0FF4">
        <w:rPr>
          <w:rFonts w:ascii="Cambria" w:eastAsia="MS Mincho" w:hAnsi="Cambria" w:cs="Cambria"/>
          <w:color w:val="000000"/>
          <w:sz w:val="23"/>
          <w:szCs w:val="23"/>
          <w:lang w:val="fr-FR"/>
        </w:rPr>
        <w:t>fost</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adoptate</w:t>
      </w:r>
      <w:proofErr w:type="spellEnd"/>
      <w:r w:rsidRPr="000D0FF4">
        <w:rPr>
          <w:rFonts w:ascii="Cambria" w:eastAsia="MS Mincho" w:hAnsi="Cambria" w:cs="Cambria"/>
          <w:color w:val="000000"/>
          <w:sz w:val="23"/>
          <w:szCs w:val="23"/>
          <w:lang w:val="fr-FR"/>
        </w:rPr>
        <w:t xml:space="preserve"> de </w:t>
      </w:r>
      <w:proofErr w:type="spellStart"/>
      <w:r w:rsidRPr="000D0FF4">
        <w:rPr>
          <w:rFonts w:ascii="Cambria" w:eastAsia="MS Mincho" w:hAnsi="Cambria" w:cs="Cambria"/>
          <w:color w:val="000000"/>
          <w:sz w:val="23"/>
          <w:szCs w:val="23"/>
          <w:lang w:val="fr-FR"/>
        </w:rPr>
        <w:t>către</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ţara</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noastră</w:t>
      </w:r>
      <w:proofErr w:type="spellEnd"/>
      <w:r w:rsidRPr="000D0FF4">
        <w:rPr>
          <w:rFonts w:ascii="Cambria" w:eastAsia="MS Mincho" w:hAnsi="Cambria" w:cs="Cambria"/>
          <w:color w:val="000000"/>
          <w:sz w:val="23"/>
          <w:szCs w:val="23"/>
          <w:lang w:val="fr-FR"/>
        </w:rPr>
        <w:t xml:space="preserve"> </w:t>
      </w:r>
    </w:p>
    <w:p w14:paraId="439038D5" w14:textId="0EE12B75" w:rsidR="000D0FF4" w:rsidRPr="00CA35B6" w:rsidRDefault="000D0FF4" w:rsidP="000D0FF4">
      <w:pPr>
        <w:spacing w:before="0" w:beforeAutospacing="0" w:after="120" w:afterAutospacing="0"/>
        <w:rPr>
          <w:rFonts w:ascii="Cambria" w:eastAsia="MS Mincho" w:hAnsi="Cambria" w:cs="Cambria"/>
          <w:color w:val="000000"/>
          <w:sz w:val="23"/>
          <w:szCs w:val="23"/>
          <w:lang w:val="fr-FR"/>
        </w:rPr>
      </w:pPr>
      <w:r w:rsidRPr="000D0FF4">
        <w:rPr>
          <w:rFonts w:ascii="MS Mincho" w:eastAsia="MS Mincho" w:hAnsi="Cambria" w:cs="MS Mincho" w:hint="eastAsia"/>
          <w:color w:val="000000"/>
          <w:sz w:val="23"/>
          <w:szCs w:val="23"/>
          <w:lang w:val="fr-FR"/>
        </w:rPr>
        <w:t>➢</w:t>
      </w:r>
      <w:r w:rsidRPr="000D0FF4">
        <w:rPr>
          <w:rFonts w:ascii="MS Mincho" w:eastAsia="MS Mincho" w:hAnsi="Cambria" w:cs="MS Mincho"/>
          <w:color w:val="000000"/>
          <w:sz w:val="23"/>
          <w:szCs w:val="23"/>
          <w:lang w:val="fr-FR"/>
        </w:rPr>
        <w:t xml:space="preserve"> </w:t>
      </w:r>
      <w:proofErr w:type="spellStart"/>
      <w:r w:rsidRPr="000D0FF4">
        <w:rPr>
          <w:rFonts w:ascii="Cambria" w:eastAsia="MS Mincho" w:hAnsi="Cambria" w:cs="Cambria"/>
          <w:color w:val="000000"/>
          <w:sz w:val="23"/>
          <w:szCs w:val="23"/>
          <w:lang w:val="fr-FR"/>
        </w:rPr>
        <w:t>Planul</w:t>
      </w:r>
      <w:proofErr w:type="spellEnd"/>
      <w:r w:rsidRPr="000D0FF4">
        <w:rPr>
          <w:rFonts w:ascii="Cambria" w:eastAsia="MS Mincho" w:hAnsi="Cambria" w:cs="Cambria"/>
          <w:color w:val="000000"/>
          <w:sz w:val="23"/>
          <w:szCs w:val="23"/>
          <w:lang w:val="fr-FR"/>
        </w:rPr>
        <w:t xml:space="preserve"> global de </w:t>
      </w:r>
      <w:proofErr w:type="spellStart"/>
      <w:r w:rsidRPr="000D0FF4">
        <w:rPr>
          <w:rFonts w:ascii="Cambria" w:eastAsia="MS Mincho" w:hAnsi="Cambria" w:cs="Cambria"/>
          <w:color w:val="000000"/>
          <w:sz w:val="23"/>
          <w:szCs w:val="23"/>
          <w:lang w:val="fr-FR"/>
        </w:rPr>
        <w:t>acţiune</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împotriva</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bolilor</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netransmisibile</w:t>
      </w:r>
      <w:proofErr w:type="spellEnd"/>
      <w:r w:rsidRPr="000D0FF4">
        <w:rPr>
          <w:rFonts w:ascii="Cambria" w:eastAsia="MS Mincho" w:hAnsi="Cambria" w:cs="Cambria"/>
          <w:color w:val="000000"/>
          <w:sz w:val="23"/>
          <w:szCs w:val="23"/>
          <w:lang w:val="fr-FR"/>
        </w:rPr>
        <w:t xml:space="preserve"> de </w:t>
      </w:r>
      <w:proofErr w:type="spellStart"/>
      <w:r w:rsidRPr="000D0FF4">
        <w:rPr>
          <w:rFonts w:ascii="Cambria" w:eastAsia="MS Mincho" w:hAnsi="Cambria" w:cs="Cambria"/>
          <w:color w:val="000000"/>
          <w:sz w:val="23"/>
          <w:szCs w:val="23"/>
          <w:lang w:val="fr-FR"/>
        </w:rPr>
        <w:t>reducere</w:t>
      </w:r>
      <w:proofErr w:type="spellEnd"/>
      <w:r w:rsidRPr="000D0FF4">
        <w:rPr>
          <w:rFonts w:ascii="Cambria" w:eastAsia="MS Mincho" w:hAnsi="Cambria" w:cs="Cambria"/>
          <w:color w:val="000000"/>
          <w:sz w:val="23"/>
          <w:szCs w:val="23"/>
          <w:lang w:val="fr-FR"/>
        </w:rPr>
        <w:t xml:space="preserve"> a </w:t>
      </w:r>
      <w:proofErr w:type="spellStart"/>
      <w:r w:rsidRPr="000D0FF4">
        <w:rPr>
          <w:rFonts w:ascii="Cambria" w:eastAsia="MS Mincho" w:hAnsi="Cambria" w:cs="Cambria"/>
          <w:color w:val="000000"/>
          <w:sz w:val="23"/>
          <w:szCs w:val="23"/>
          <w:lang w:val="fr-FR"/>
        </w:rPr>
        <w:t>consumului</w:t>
      </w:r>
      <w:proofErr w:type="spellEnd"/>
      <w:r w:rsidRPr="000D0FF4">
        <w:rPr>
          <w:rFonts w:ascii="Cambria" w:eastAsia="MS Mincho" w:hAnsi="Cambria" w:cs="Cambria"/>
          <w:color w:val="000000"/>
          <w:sz w:val="23"/>
          <w:szCs w:val="23"/>
          <w:lang w:val="fr-FR"/>
        </w:rPr>
        <w:t xml:space="preserve"> de </w:t>
      </w:r>
      <w:proofErr w:type="spellStart"/>
      <w:r w:rsidRPr="000D0FF4">
        <w:rPr>
          <w:rFonts w:ascii="Cambria" w:eastAsia="MS Mincho" w:hAnsi="Cambria" w:cs="Cambria"/>
          <w:color w:val="000000"/>
          <w:sz w:val="23"/>
          <w:szCs w:val="23"/>
          <w:lang w:val="fr-FR"/>
        </w:rPr>
        <w:t>tutun</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până</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în</w:t>
      </w:r>
      <w:proofErr w:type="spellEnd"/>
      <w:r w:rsidRPr="000D0FF4">
        <w:rPr>
          <w:rFonts w:ascii="Cambria" w:eastAsia="MS Mincho" w:hAnsi="Cambria" w:cs="Cambria"/>
          <w:color w:val="000000"/>
          <w:sz w:val="23"/>
          <w:szCs w:val="23"/>
          <w:lang w:val="fr-FR"/>
        </w:rPr>
        <w:t xml:space="preserve"> </w:t>
      </w:r>
      <w:proofErr w:type="spellStart"/>
      <w:r w:rsidRPr="000D0FF4">
        <w:rPr>
          <w:rFonts w:ascii="Cambria" w:eastAsia="MS Mincho" w:hAnsi="Cambria" w:cs="Cambria"/>
          <w:color w:val="000000"/>
          <w:sz w:val="23"/>
          <w:szCs w:val="23"/>
          <w:lang w:val="fr-FR"/>
        </w:rPr>
        <w:t>anul</w:t>
      </w:r>
      <w:proofErr w:type="spellEnd"/>
      <w:r w:rsidRPr="000D0FF4">
        <w:rPr>
          <w:rFonts w:ascii="Cambria" w:eastAsia="MS Mincho" w:hAnsi="Cambria" w:cs="Cambria"/>
          <w:color w:val="000000"/>
          <w:sz w:val="23"/>
          <w:szCs w:val="23"/>
          <w:lang w:val="fr-FR"/>
        </w:rPr>
        <w:t xml:space="preserve"> 2025 </w:t>
      </w:r>
      <w:proofErr w:type="spellStart"/>
      <w:r w:rsidRPr="000D0FF4">
        <w:rPr>
          <w:rFonts w:ascii="Cambria" w:eastAsia="MS Mincho" w:hAnsi="Cambria" w:cs="Cambria"/>
          <w:color w:val="000000"/>
          <w:sz w:val="23"/>
          <w:szCs w:val="23"/>
          <w:lang w:val="fr-FR"/>
        </w:rPr>
        <w:t>cu</w:t>
      </w:r>
      <w:proofErr w:type="spellEnd"/>
      <w:r w:rsidRPr="000D0FF4">
        <w:rPr>
          <w:rFonts w:ascii="Cambria" w:eastAsia="MS Mincho" w:hAnsi="Cambria" w:cs="Cambria"/>
          <w:color w:val="000000"/>
          <w:sz w:val="23"/>
          <w:szCs w:val="23"/>
          <w:lang w:val="fr-FR"/>
        </w:rPr>
        <w:t xml:space="preserve"> 30% </w:t>
      </w:r>
      <w:proofErr w:type="spellStart"/>
      <w:r w:rsidRPr="000D0FF4">
        <w:rPr>
          <w:rFonts w:ascii="Cambria" w:eastAsia="MS Mincho" w:hAnsi="Cambria" w:cs="Cambria"/>
          <w:color w:val="000000"/>
          <w:sz w:val="23"/>
          <w:szCs w:val="23"/>
          <w:lang w:val="fr-FR"/>
        </w:rPr>
        <w:t>faţă</w:t>
      </w:r>
      <w:proofErr w:type="spellEnd"/>
      <w:r w:rsidRPr="000D0FF4">
        <w:rPr>
          <w:rFonts w:ascii="Cambria" w:eastAsia="MS Mincho" w:hAnsi="Cambria" w:cs="Cambria"/>
          <w:color w:val="000000"/>
          <w:sz w:val="23"/>
          <w:szCs w:val="23"/>
          <w:lang w:val="fr-FR"/>
        </w:rPr>
        <w:t xml:space="preserve"> de </w:t>
      </w:r>
      <w:proofErr w:type="spellStart"/>
      <w:r w:rsidRPr="000D0FF4">
        <w:rPr>
          <w:rFonts w:ascii="Cambria" w:eastAsia="MS Mincho" w:hAnsi="Cambria" w:cs="Cambria"/>
          <w:color w:val="000000"/>
          <w:sz w:val="23"/>
          <w:szCs w:val="23"/>
          <w:lang w:val="fr-FR"/>
        </w:rPr>
        <w:t>anul</w:t>
      </w:r>
      <w:proofErr w:type="spellEnd"/>
      <w:r w:rsidRPr="000D0FF4">
        <w:rPr>
          <w:rFonts w:ascii="Cambria" w:eastAsia="MS Mincho" w:hAnsi="Cambria" w:cs="Cambria"/>
          <w:color w:val="000000"/>
          <w:sz w:val="23"/>
          <w:szCs w:val="23"/>
          <w:lang w:val="fr-FR"/>
        </w:rPr>
        <w:t xml:space="preserve"> 2010</w:t>
      </w:r>
      <w:r>
        <w:rPr>
          <w:rFonts w:ascii="Cambria" w:eastAsia="MS Mincho" w:hAnsi="Cambria" w:cs="Cambria"/>
          <w:color w:val="000000"/>
          <w:sz w:val="23"/>
          <w:szCs w:val="23"/>
          <w:lang w:val="fr-FR"/>
        </w:rPr>
        <w:t>.</w:t>
      </w:r>
    </w:p>
    <w:p w14:paraId="717B5BB6" w14:textId="0BC27BFC" w:rsidR="00CA35B6" w:rsidRPr="00CA35B6" w:rsidRDefault="00CA35B6" w:rsidP="00CA35B6">
      <w:pPr>
        <w:spacing w:before="0" w:beforeAutospacing="0" w:after="120" w:afterAutospacing="0"/>
      </w:pPr>
      <w:r w:rsidRPr="00CA35B6">
        <w:t xml:space="preserve">Romania este stat membru al Uniunii Europene (UE) iar politicile de control al tutunului sunt corelate cu cadrul legislativ european. În perioada 2011 – 2018 au fost implementate următoarele măsuri de politici din MPOWER: </w:t>
      </w:r>
    </w:p>
    <w:p w14:paraId="247A4643" w14:textId="77777777" w:rsidR="00CA35B6" w:rsidRPr="00CA35B6" w:rsidRDefault="00CA35B6" w:rsidP="00CA35B6">
      <w:pPr>
        <w:spacing w:before="0" w:beforeAutospacing="0" w:after="120" w:afterAutospacing="0"/>
      </w:pPr>
      <w:r w:rsidRPr="00CA35B6">
        <w:rPr>
          <w:b/>
          <w:bCs/>
        </w:rPr>
        <w:t xml:space="preserve">M </w:t>
      </w:r>
      <w:r w:rsidRPr="00CA35B6">
        <w:t xml:space="preserve">Monitorizarea consumului de tutun la adulți a fost realizată la nivelul UE prin Eurobarometre în 2012, 2015 și 2017, în timp ce monitorizarea onsumului de tutun la adolescenți, în această perioadă de timp, a fost realizată prin două runde ale Studiului privind Consumul de Tutun la Tineri – GYTS (în 2013 și 2017, pentru grupa de vârstă 13-15 ani); o rundă a Studiului privind comportamentele de sănătate la copii de vârstă școlară – HBSC (în 2014, la grupa de vârstă 11-13 ani) și două runde ale Proiectului studiului european în școli privind alcoolul și alte droguri (în 2011 și 2015, pentru grupa de vârstă 15-17 ani). </w:t>
      </w:r>
    </w:p>
    <w:p w14:paraId="01E6369C" w14:textId="7B98AD0C" w:rsidR="00CA35B6" w:rsidRPr="00CA35B6" w:rsidRDefault="00CA35B6" w:rsidP="00CA35B6">
      <w:pPr>
        <w:spacing w:before="0" w:beforeAutospacing="0" w:after="120" w:afterAutospacing="0"/>
      </w:pPr>
      <w:r w:rsidRPr="00CA35B6">
        <w:rPr>
          <w:b/>
          <w:bCs/>
        </w:rPr>
        <w:t xml:space="preserve">P </w:t>
      </w:r>
      <w:r w:rsidRPr="00CA35B6">
        <w:t xml:space="preserve">În 2016, Romania a adoptat Legea 15/2016 care interzice fumatul în toate spațiile închise, inclusiv în clădiri oficiale (de stat), școli, universități, instituții medico-sanitare, restaurante, baruri și cluburi de noapte, locuri de muncă, transport în comun și în toate locurile de joacă (situate în interior sau la exterior). </w:t>
      </w:r>
    </w:p>
    <w:p w14:paraId="77C9AFF9" w14:textId="6F4CE671" w:rsidR="00CA35B6" w:rsidRPr="00CA35B6" w:rsidRDefault="00CA35B6" w:rsidP="000D0FF4">
      <w:pPr>
        <w:spacing w:before="0" w:beforeAutospacing="0" w:after="120" w:afterAutospacing="0"/>
      </w:pPr>
      <w:r w:rsidRPr="00CA35B6">
        <w:rPr>
          <w:b/>
          <w:bCs/>
        </w:rPr>
        <w:t>O</w:t>
      </w:r>
      <w:r w:rsidRPr="00CA35B6">
        <w:t xml:space="preserve"> </w:t>
      </w:r>
      <w:r w:rsidR="000D0FF4">
        <w:t xml:space="preserve">În România, ca suport pentru renunțare se oferă NRT (Nicotine Replacement Therapy) și/sau servicii de renunțare (cel puțin unul dintre acestea fiind finanțat de la bugetul public). </w:t>
      </w:r>
      <w:r w:rsidRPr="00CA35B6">
        <w:t xml:space="preserve">Din anul 2011, acoperirea națională pentru serviciile de renunțare la tutun a scăzut datorită reducerii fondurilor alocate Programului Național Stop Fumat. </w:t>
      </w:r>
    </w:p>
    <w:p w14:paraId="0F70D13C" w14:textId="350F2A3E" w:rsidR="00CA35B6" w:rsidRPr="00CA35B6" w:rsidRDefault="00CA35B6" w:rsidP="00065B21">
      <w:pPr>
        <w:pStyle w:val="Default"/>
        <w:jc w:val="both"/>
        <w:rPr>
          <w:rFonts w:ascii="Times New Roman" w:hAnsi="Times New Roman" w:cs="Times New Roman"/>
          <w:sz w:val="22"/>
          <w:szCs w:val="22"/>
          <w:lang w:val="ro-RO"/>
        </w:rPr>
      </w:pPr>
      <w:r w:rsidRPr="00CA35B6">
        <w:rPr>
          <w:b/>
          <w:bCs/>
          <w:lang w:val="ro-RO"/>
        </w:rPr>
        <w:t>W</w:t>
      </w:r>
      <w:r w:rsidRPr="00CA35B6">
        <w:rPr>
          <w:lang w:val="ro-RO"/>
        </w:rPr>
        <w:t xml:space="preserve"> </w:t>
      </w:r>
      <w:r w:rsidR="000D0FF4" w:rsidRPr="00065B21">
        <w:rPr>
          <w:rFonts w:ascii="Times New Roman" w:hAnsi="Times New Roman" w:cs="Times New Roman"/>
          <w:sz w:val="22"/>
          <w:szCs w:val="22"/>
          <w:lang w:val="ro-RO"/>
        </w:rPr>
        <w:t xml:space="preserve">În 2008, România a fost printre primele state care au introdus avertismentele grafice de sănătate. </w:t>
      </w:r>
      <w:r w:rsidRPr="00CA35B6">
        <w:rPr>
          <w:rFonts w:ascii="Times New Roman" w:hAnsi="Times New Roman" w:cs="Times New Roman"/>
          <w:sz w:val="22"/>
          <w:szCs w:val="22"/>
          <w:lang w:val="ro-RO"/>
        </w:rPr>
        <w:t>În 2017 au fost introduse noi avertismente grafice pentru sănătate, alternate</w:t>
      </w:r>
      <w:r w:rsidR="00065B21" w:rsidRPr="00065B21">
        <w:rPr>
          <w:rFonts w:ascii="Times New Roman" w:hAnsi="Times New Roman" w:cs="Times New Roman"/>
          <w:sz w:val="22"/>
          <w:szCs w:val="22"/>
          <w:lang w:val="ro-RO"/>
        </w:rPr>
        <w:t xml:space="preserve"> </w:t>
      </w:r>
      <w:r w:rsidRPr="00CA35B6">
        <w:rPr>
          <w:rFonts w:ascii="Times New Roman" w:hAnsi="Times New Roman" w:cs="Times New Roman"/>
          <w:sz w:val="22"/>
          <w:szCs w:val="22"/>
          <w:lang w:val="ro-RO"/>
        </w:rPr>
        <w:t>anual, avertismente care ocupă o suprafață crescută (de la 45% la 65%). Noile avertismente sunt plasate pe ambele fețe ale pachetelor de țigări, în partea superioară.</w:t>
      </w:r>
      <w:r w:rsidR="00065B21" w:rsidRPr="00065B21">
        <w:rPr>
          <w:rFonts w:ascii="Times New Roman" w:hAnsi="Times New Roman" w:cs="Times New Roman"/>
          <w:sz w:val="22"/>
          <w:szCs w:val="22"/>
          <w:lang w:val="ro-RO"/>
        </w:rPr>
        <w:t xml:space="preserve"> Mai mult, L</w:t>
      </w:r>
      <w:r w:rsidR="00065B21">
        <w:rPr>
          <w:rFonts w:ascii="Times New Roman" w:hAnsi="Times New Roman" w:cs="Times New Roman"/>
          <w:sz w:val="22"/>
          <w:szCs w:val="22"/>
          <w:lang w:val="ro-RO"/>
        </w:rPr>
        <w:t>e</w:t>
      </w:r>
      <w:r w:rsidR="00065B21" w:rsidRPr="00065B21">
        <w:rPr>
          <w:rFonts w:ascii="Times New Roman" w:hAnsi="Times New Roman" w:cs="Times New Roman"/>
          <w:sz w:val="22"/>
          <w:szCs w:val="22"/>
          <w:lang w:val="ro-RO"/>
        </w:rPr>
        <w:t>gea 15/2016 prevede realizarea unor  campanii publice de educare mass-media pentru a informa românii cu privire la consecințele fumatului. Mai precis, se cere posturilor de radio și televiziune să acorde cel puțin 30 de minute pe săptămână instituțiilor de educație, sănătate, tineret și organizațiilor sportive, precum și ONG-urilor, astfel încât acestea să poată difuza mesajele informative privind prevenirea și controlul fumatului. Această dispoziție extinde în mod semnificativ cercul organizațiilor mass-media afectate de această cerință, întrucât măsura anterioară era aplicată numai la posturile naționale de radio și televiziune, fapt care a limitat influența acestor mesaje în rândul populației.</w:t>
      </w:r>
    </w:p>
    <w:p w14:paraId="65AD0960" w14:textId="2F9CCEA1" w:rsidR="00065B21" w:rsidRDefault="00CA35B6" w:rsidP="00065B21">
      <w:pPr>
        <w:spacing w:before="0" w:beforeAutospacing="0" w:after="120" w:afterAutospacing="0"/>
      </w:pPr>
      <w:r w:rsidRPr="00CA35B6">
        <w:rPr>
          <w:b/>
          <w:bCs/>
        </w:rPr>
        <w:lastRenderedPageBreak/>
        <w:t xml:space="preserve">E </w:t>
      </w:r>
      <w:r w:rsidR="00065B21" w:rsidRPr="00065B21">
        <w:t>Publicitatea produselor de tutun la radio și televiziune a fost interzisă începând cu anul 2002, în conformitate cu Legea audiovizualului (Legea nr. 504). În anul 2004, ca parte a Legii nr. 457 privind publicitatea și sponsorizarea produselor din tutun, limitele asupra comercializării tutunului s-au extins pentru a include interdicții precum: publicitatea scrisă locală în ziare și reviste (cu excepția publicațiilor destinate pentru cei implicați în industria</w:t>
      </w:r>
      <w:r w:rsidR="00065B21">
        <w:t xml:space="preserve"> </w:t>
      </w:r>
      <w:r w:rsidR="00065B21" w:rsidRPr="00065B21">
        <w:t>tutunului); panouri publicitare, transport public, precum și alte forme de publicitate de exterior; şi publicitatea în locurile de divertisment. Această lege a restricționat, de asemenea, o varietate de activități de promovare de către companiile de tutun, inclusiv distribuirea produselor promoţionale personalizate, diverse activități de extindere a mărcilor</w:t>
      </w:r>
      <w:r w:rsidR="00065B21">
        <w:t xml:space="preserve"> și a</w:t>
      </w:r>
      <w:r w:rsidR="00065B21" w:rsidRPr="00065B21">
        <w:t xml:space="preserve"> limitat activitățile de sponsorizare.</w:t>
      </w:r>
      <w:r w:rsidR="00065B21">
        <w:t xml:space="preserve"> </w:t>
      </w:r>
    </w:p>
    <w:p w14:paraId="761792E1" w14:textId="588B2341" w:rsidR="00CA35B6" w:rsidRPr="00CA35B6" w:rsidRDefault="00CA35B6" w:rsidP="00065B21">
      <w:pPr>
        <w:spacing w:before="0" w:beforeAutospacing="0" w:after="120" w:afterAutospacing="0"/>
      </w:pPr>
      <w:r w:rsidRPr="00CA35B6">
        <w:t>Reclama, promovarea și sponsorizarea privind țigările electronice au fost interzise în 2016 (Legea 201/ 2016</w:t>
      </w:r>
      <w:r w:rsidR="000D0FF4">
        <w:t xml:space="preserve"> care tranpune Directiva 2014/40/UE privind apropierea actelor cu putere de lege și a actelor administrative ale statelor membre în ceea ce privește fabricarea, prezentarea și vânzarea produselor din tutun și a produselor conexe și de abrogare a Directivei 2001/37/CE</w:t>
      </w:r>
      <w:r w:rsidRPr="00CA35B6">
        <w:t xml:space="preserve">). </w:t>
      </w:r>
    </w:p>
    <w:p w14:paraId="4A61FCE4" w14:textId="56B1E463" w:rsidR="00CA35B6" w:rsidRPr="00CA35B6" w:rsidRDefault="00CA35B6" w:rsidP="00CA35B6">
      <w:pPr>
        <w:spacing w:before="0" w:beforeAutospacing="0" w:after="120" w:afterAutospacing="0"/>
      </w:pPr>
      <w:r w:rsidRPr="00CA35B6">
        <w:rPr>
          <w:b/>
          <w:bCs/>
        </w:rPr>
        <w:t>R</w:t>
      </w:r>
      <w:r w:rsidRPr="00CA35B6">
        <w:t xml:space="preserve"> În această perioadă de timp, România a devenit compliantă cu legislația privind taxarea produselor din tutun a UE (Directiva 2011/64/EU). Din ianuarie 2016 sunt, de asemenea prevăzute taxe pentru lichidul din țigările electronice și pentru produsele cu tutun încălzit. În 2018, taxa totală pe un pachet standard (de 20 de țigări) din cel mai vândut brand de țigări a fost 68.6%, iar pentru produsele cu tutun încălzit (pe 20 bucăți) a fost 30.9%.</w:t>
      </w:r>
    </w:p>
    <w:p w14:paraId="309D9013" w14:textId="0A71AE87" w:rsidR="000D0FF4" w:rsidRDefault="000D0FF4" w:rsidP="000D0FF4">
      <w:pPr>
        <w:spacing w:before="0" w:beforeAutospacing="0" w:after="120" w:afterAutospacing="0"/>
      </w:pPr>
      <w:r w:rsidRPr="000D0FF4">
        <w:rPr>
          <w:b/>
          <w:bCs/>
        </w:rPr>
        <w:t>Programul Național Stop Fumat</w:t>
      </w:r>
      <w:r>
        <w:t xml:space="preserve">, un program al Ministerului Sănătăţii, a luat fiinţă în 2007 şi estecoordonat de Institutul de Pneumoftiziologie „Marius Nasta” </w:t>
      </w:r>
      <w:r w:rsidR="00065B21">
        <w:t>(22)</w:t>
      </w:r>
      <w:r>
        <w:t>.</w:t>
      </w:r>
      <w:r w:rsidR="009162C8">
        <w:t xml:space="preserve"> </w:t>
      </w:r>
      <w:r>
        <w:t>Progamul este susținut de echipe de medici si psihologi din mai multe orașe din România și are ca</w:t>
      </w:r>
      <w:r w:rsidR="009162C8">
        <w:t xml:space="preserve"> </w:t>
      </w:r>
      <w:r>
        <w:t>obiectiv acordarea sprijinului prin consiliere psihologică de specialitate și acces la tratament complet</w:t>
      </w:r>
      <w:r w:rsidR="009162C8">
        <w:t xml:space="preserve"> </w:t>
      </w:r>
      <w:r>
        <w:t>persoanelor care fumează.</w:t>
      </w:r>
      <w:r w:rsidR="009162C8">
        <w:t xml:space="preserve"> </w:t>
      </w:r>
      <w:r>
        <w:t>Programul Naţional Stop Fumat include:</w:t>
      </w:r>
      <w:r w:rsidR="009162C8">
        <w:t xml:space="preserve"> </w:t>
      </w:r>
      <w:r>
        <w:t xml:space="preserve">o linie telefonică cu apel gratuit (TelVerde: 0800 878 673) </w:t>
      </w:r>
      <w:r w:rsidR="009162C8">
        <w:t xml:space="preserve">înscris pe fiecare pachet de produse din tutun pentru fumat </w:t>
      </w:r>
      <w:r>
        <w:t>pentru orice persoană interesată de</w:t>
      </w:r>
      <w:r w:rsidR="009162C8">
        <w:t xml:space="preserve"> </w:t>
      </w:r>
      <w:r>
        <w:t>renunțarea la fumat ce poate intra în legătură cu un specialist pentru a primi mai multe detalii;consiliere psihologică privind renunţarea la fumat, prin întâlniri periodice cu un psiholog;</w:t>
      </w:r>
      <w:r w:rsidR="009162C8">
        <w:t xml:space="preserve"> </w:t>
      </w:r>
      <w:r>
        <w:t>acces la medicamente gratuite ce ușurează procesul de renunțare la fumat.</w:t>
      </w:r>
    </w:p>
    <w:p w14:paraId="284AF83A" w14:textId="231B26F5" w:rsidR="009C6B69" w:rsidRDefault="000D0FF4" w:rsidP="009162C8">
      <w:pPr>
        <w:spacing w:before="0" w:beforeAutospacing="0" w:after="120" w:afterAutospacing="0"/>
      </w:pPr>
      <w:r>
        <w:t>Dintre ONG-uri, Asociația Aer Pur România (membru al European Network for Smoking and Tobacco</w:t>
      </w:r>
      <w:r w:rsidR="009162C8">
        <w:t xml:space="preserve"> </w:t>
      </w:r>
      <w:r>
        <w:t>Prevention- ENSP) desfășoară mai multe acțiuni de susținere, publicitate și comunicare în scopul atingerii</w:t>
      </w:r>
      <w:r w:rsidR="009162C8">
        <w:t xml:space="preserve"> </w:t>
      </w:r>
      <w:r>
        <w:t>obiectivelor campaniei naționale "2035 - Prima generație fără tutun”</w:t>
      </w:r>
      <w:r w:rsidR="009162C8">
        <w:t>.</w:t>
      </w:r>
      <w:r>
        <w:t xml:space="preserve"> </w:t>
      </w:r>
      <w:r w:rsidR="009162C8" w:rsidRPr="009162C8">
        <w:t>Obiectivul principal al acestei strategii este reducerea consumului de tutun la minimum posibil, adică la 5% din populaţia adultă, prag considerat de OMS ca fiind echivalent cu „finalul jocului devastator cu tutunul”, într-un interval de timp rezonabil</w:t>
      </w:r>
      <w:r w:rsidR="009162C8">
        <w:t>.</w:t>
      </w:r>
      <w:r>
        <w:t xml:space="preserve"> </w:t>
      </w:r>
    </w:p>
    <w:p w14:paraId="348A15C9" w14:textId="6150124A" w:rsidR="009162C8" w:rsidRDefault="009162C8" w:rsidP="009162C8">
      <w:pPr>
        <w:spacing w:before="0" w:beforeAutospacing="0" w:after="0" w:afterAutospacing="0"/>
        <w:jc w:val="center"/>
      </w:pPr>
      <w:r>
        <w:t>***</w:t>
      </w:r>
    </w:p>
    <w:p w14:paraId="38B8F0C2" w14:textId="46412053" w:rsidR="009162C8" w:rsidRDefault="009162C8" w:rsidP="009162C8">
      <w:pPr>
        <w:rPr>
          <w:sz w:val="23"/>
          <w:szCs w:val="23"/>
        </w:rPr>
      </w:pPr>
      <w:r w:rsidRPr="009162C8">
        <w:rPr>
          <w:noProof/>
          <w:lang w:val="en-US"/>
        </w:rPr>
        <w:drawing>
          <wp:anchor distT="0" distB="0" distL="114300" distR="114300" simplePos="0" relativeHeight="251660288" behindDoc="0" locked="0" layoutInCell="1" allowOverlap="1" wp14:anchorId="4437D9D6" wp14:editId="4C974C10">
            <wp:simplePos x="0" y="0"/>
            <wp:positionH relativeFrom="column">
              <wp:posOffset>19050</wp:posOffset>
            </wp:positionH>
            <wp:positionV relativeFrom="paragraph">
              <wp:posOffset>544195</wp:posOffset>
            </wp:positionV>
            <wp:extent cx="4239895" cy="14573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989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3"/>
          <w:szCs w:val="23"/>
        </w:rPr>
        <w:t>Pentru ca România să îşi îndeplinească obligaţia asumată în cadrul Planului global de acţiune împotriva bolilor netransmisibile de reducere a consumului de tutun până în anul 2025 cu 30% faţă de anul 2010, este necesar ca prevalenţa fumatului curent (zilnic şi ocazional) să ajungă în anul 2025 la 21,8% iar a fumatului zilnic – la 18,4% din populaţia cu vârsta peste 15 ani.</w:t>
      </w:r>
    </w:p>
    <w:p w14:paraId="57D295DF" w14:textId="47434DE3" w:rsidR="009162C8" w:rsidRPr="009162C8" w:rsidRDefault="009162C8" w:rsidP="009162C8">
      <w:pPr>
        <w:rPr>
          <w:i/>
          <w:iCs/>
          <w:sz w:val="16"/>
          <w:szCs w:val="16"/>
        </w:rPr>
      </w:pPr>
      <w:r>
        <w:rPr>
          <w:i/>
          <w:iCs/>
          <w:sz w:val="16"/>
          <w:szCs w:val="16"/>
        </w:rPr>
        <w:t>Sursa:WHO-Euro</w:t>
      </w:r>
    </w:p>
    <w:p w14:paraId="648F99B9" w14:textId="77777777" w:rsidR="009162C8" w:rsidRDefault="009162C8" w:rsidP="009162C8">
      <w:pPr>
        <w:spacing w:before="0" w:beforeAutospacing="0" w:after="120" w:afterAutospacing="0"/>
      </w:pPr>
      <w:r>
        <w:t>În acest sens, ar fi necesare:</w:t>
      </w:r>
    </w:p>
    <w:p w14:paraId="6926325C" w14:textId="26DBD3CB" w:rsidR="004059FB" w:rsidRDefault="009162C8" w:rsidP="004059FB">
      <w:pPr>
        <w:pStyle w:val="ListParagraph"/>
        <w:numPr>
          <w:ilvl w:val="0"/>
          <w:numId w:val="5"/>
        </w:numPr>
        <w:spacing w:after="120"/>
        <w:jc w:val="both"/>
        <w:rPr>
          <w:rFonts w:ascii="Times New Roman" w:hAnsi="Times New Roman"/>
        </w:rPr>
      </w:pPr>
      <w:r w:rsidRPr="004059FB">
        <w:rPr>
          <w:rFonts w:ascii="Times New Roman" w:hAnsi="Times New Roman"/>
        </w:rPr>
        <w:t>Monitorizarea și aplicarea eficientă a legislației existente în materie de interzicere a fumatului în spații închise sunt importante pentru a proteja publicul de expunerea la fumul de tutun. În plus, este important ca prevederile legislației anti-fumat din România să fie extinse și asupra produselor cu tutun încălzit și a țigărilor electronice.</w:t>
      </w:r>
    </w:p>
    <w:p w14:paraId="5A58E10B" w14:textId="06BBE8B5" w:rsidR="004059FB" w:rsidRPr="004059FB" w:rsidRDefault="004059FB" w:rsidP="004059FB">
      <w:pPr>
        <w:pStyle w:val="ListParagraph"/>
        <w:spacing w:after="120"/>
        <w:ind w:left="360"/>
        <w:jc w:val="both"/>
        <w:rPr>
          <w:rFonts w:ascii="Times New Roman" w:hAnsi="Times New Roman"/>
        </w:rPr>
      </w:pPr>
      <w:r w:rsidRPr="004059FB">
        <w:rPr>
          <w:rFonts w:ascii="Times New Roman" w:hAnsi="Times New Roman"/>
          <w:noProof/>
          <w:lang w:val="en-US"/>
        </w:rPr>
        <w:lastRenderedPageBreak/>
        <w:drawing>
          <wp:inline distT="0" distB="0" distL="0" distR="0" wp14:anchorId="1E78CB4E" wp14:editId="4855E901">
            <wp:extent cx="5371105" cy="32289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8199" cy="3233240"/>
                    </a:xfrm>
                    <a:prstGeom prst="rect">
                      <a:avLst/>
                    </a:prstGeom>
                    <a:noFill/>
                    <a:ln>
                      <a:noFill/>
                    </a:ln>
                  </pic:spPr>
                </pic:pic>
              </a:graphicData>
            </a:graphic>
          </wp:inline>
        </w:drawing>
      </w:r>
    </w:p>
    <w:p w14:paraId="555A18F4" w14:textId="77777777" w:rsidR="004059FB" w:rsidRDefault="004059FB" w:rsidP="009162C8">
      <w:pPr>
        <w:pStyle w:val="ListParagraph"/>
        <w:numPr>
          <w:ilvl w:val="0"/>
          <w:numId w:val="5"/>
        </w:numPr>
        <w:spacing w:after="120"/>
        <w:jc w:val="both"/>
        <w:rPr>
          <w:rFonts w:ascii="Times New Roman" w:hAnsi="Times New Roman"/>
        </w:rPr>
      </w:pPr>
      <w:r w:rsidRPr="004059FB">
        <w:rPr>
          <w:rFonts w:ascii="Times New Roman" w:hAnsi="Times New Roman"/>
        </w:rPr>
        <w:t>C</w:t>
      </w:r>
      <w:r w:rsidR="009162C8" w:rsidRPr="004059FB">
        <w:rPr>
          <w:rFonts w:ascii="Times New Roman" w:hAnsi="Times New Roman"/>
        </w:rPr>
        <w:t>onsolidarea serviciilor existente de renunțare la fumat prin formarea profesioniștilor din domeniul sănătății pentru acordarea consilierii; extinderea serviciilor de renunțare și integrarea acestor servicii în cadrul asistenței medicale primare. Realizarea unui sistem eficient de trimitere la nivel local și campanii de educație țintite sunt importante pentru un dezvoltarea unui sistem eficient de renunțare la consumul de tutun, care să sprijine persoanele care încearcă acest lucru. Mai mult, luând în considerare scăderea dramatică a fumătorilor care au făcut o încercare de a se lăsa de fumat în ultimele 12 luni (scădere relativă de 37.0%) și procentul mare de fumători (43.9%) care nu sunt interesați să renunțe la fumat, este importantă reluarea campaniilor de informare cu privire la pericolele consumului de tutun.</w:t>
      </w:r>
    </w:p>
    <w:p w14:paraId="512674D3" w14:textId="6938663D" w:rsidR="004059FB" w:rsidRDefault="009162C8" w:rsidP="004059FB">
      <w:pPr>
        <w:pStyle w:val="ListParagraph"/>
        <w:numPr>
          <w:ilvl w:val="0"/>
          <w:numId w:val="5"/>
        </w:numPr>
        <w:spacing w:after="120"/>
        <w:jc w:val="both"/>
        <w:rPr>
          <w:rFonts w:ascii="Times New Roman" w:hAnsi="Times New Roman"/>
        </w:rPr>
      </w:pPr>
      <w:r w:rsidRPr="004059FB">
        <w:rPr>
          <w:rFonts w:ascii="Times New Roman" w:hAnsi="Times New Roman"/>
        </w:rPr>
        <w:t>Campaniile de informare privind tutunul trebuie să țină seama de actualele lacune de conștientizare a pericolelor fumatului și trebuie orientate către grupurile cu grad ridicat de risc (cum ar fi copiii, tinerii și femeile), pentru a preveni inițierea consumului de tutun. Educația sanitară în școli și grupuri comunitare, consilierea minimă în unitățile medicale, campaniile de combatere a publicității în mass-media, sunt canale de comunicare care ar trebui să fie utilizate mai intens. Aceste campanii ar trebui să prezinte riscurile asociate cu toate tipurile de tutun consumat, inclusiv produsele cu tutun încălzit și țigările electronice</w:t>
      </w:r>
      <w:r w:rsidR="004059FB">
        <w:rPr>
          <w:rFonts w:ascii="Times New Roman" w:hAnsi="Times New Roman"/>
        </w:rPr>
        <w:t>.</w:t>
      </w:r>
    </w:p>
    <w:p w14:paraId="1A914923" w14:textId="0450EDC8" w:rsidR="009162C8" w:rsidRDefault="009162C8" w:rsidP="004059FB">
      <w:pPr>
        <w:pStyle w:val="ListParagraph"/>
        <w:numPr>
          <w:ilvl w:val="0"/>
          <w:numId w:val="5"/>
        </w:numPr>
        <w:spacing w:after="120"/>
        <w:jc w:val="both"/>
        <w:rPr>
          <w:rFonts w:ascii="Times New Roman" w:hAnsi="Times New Roman"/>
        </w:rPr>
      </w:pPr>
      <w:r w:rsidRPr="004059FB">
        <w:rPr>
          <w:rFonts w:ascii="Times New Roman" w:hAnsi="Times New Roman"/>
        </w:rPr>
        <w:t>Creșterea taxelor pe tutun. Deși taxarea produselor din tutun  a fost modificată în conformitate cu cerințele Uniunii Europene de taxare a tutunului, este încă necesară o creștere substanțială a prețului țigărilor. Conform GATS 2018, jumătate (50,1%) din populația României a fost favoarea creșterii taxelor pe produsele din tutun. Conform recomandărilor Organizației Mondiale a Sănătății, creșterea prețului tutunului, prin aplicarea unor taxe mai mari, este cea mai important măsură care determină renunțarea la fumat și previne inițierea fumatului la copii (</w:t>
      </w:r>
      <w:r w:rsidR="004059FB">
        <w:rPr>
          <w:rFonts w:ascii="Times New Roman" w:hAnsi="Times New Roman"/>
        </w:rPr>
        <w:t>24</w:t>
      </w:r>
      <w:r w:rsidRPr="004059FB">
        <w:rPr>
          <w:rFonts w:ascii="Times New Roman" w:hAnsi="Times New Roman"/>
        </w:rPr>
        <w:t>).</w:t>
      </w:r>
    </w:p>
    <w:p w14:paraId="6BB4A0EE" w14:textId="195EB485" w:rsidR="004059FB" w:rsidRPr="004059FB" w:rsidRDefault="004059FB" w:rsidP="004059FB">
      <w:pPr>
        <w:spacing w:before="0" w:beforeAutospacing="0" w:after="120" w:afterAutospacing="0"/>
        <w:rPr>
          <w:b/>
          <w:bCs/>
          <w:i/>
          <w:iCs/>
        </w:rPr>
      </w:pPr>
      <w:r w:rsidRPr="004059FB">
        <w:rPr>
          <w:b/>
          <w:bCs/>
        </w:rPr>
        <w:t xml:space="preserve">IV. </w:t>
      </w:r>
      <w:r w:rsidRPr="004059FB">
        <w:rPr>
          <w:b/>
          <w:bCs/>
          <w:i/>
          <w:iCs/>
        </w:rPr>
        <w:t>Analiza grupurilor populaționale</w:t>
      </w:r>
    </w:p>
    <w:p w14:paraId="2572B134" w14:textId="3C04DBA0" w:rsidR="004059FB" w:rsidRDefault="004059FB" w:rsidP="004059FB">
      <w:pPr>
        <w:spacing w:before="0" w:beforeAutospacing="0" w:after="120" w:afterAutospacing="0"/>
      </w:pPr>
      <w:r>
        <w:t>Campaniile ZNT sunt adresate practic, întregii populații a României, dar și unor instituții foarte importante, unele dintre acestea cu putere de decizie. Parlamentul României, Ministerul Sănătăţii, decidenţi locali din sănătatea publică, autorități publice locale/județene, ONG-uricu profil pe sănătate, mass-media centrală şi locală.</w:t>
      </w:r>
    </w:p>
    <w:p w14:paraId="39537A34" w14:textId="21A56E4F" w:rsidR="004059FB" w:rsidRDefault="004059FB" w:rsidP="004059FB">
      <w:pPr>
        <w:spacing w:before="0" w:beforeAutospacing="0" w:after="120" w:afterAutospacing="0"/>
      </w:pPr>
      <w:r>
        <w:t xml:space="preserve">În sfera profesioniștilor sănătății: tuturor furnizorilor de servicii medicale și, în special, medicilor de familie. </w:t>
      </w:r>
    </w:p>
    <w:p w14:paraId="2FBEC788" w14:textId="7734D5FC" w:rsidR="004059FB" w:rsidRDefault="004059FB" w:rsidP="0053384A">
      <w:pPr>
        <w:spacing w:before="0" w:beforeAutospacing="0" w:after="120" w:afterAutospacing="0"/>
      </w:pPr>
      <w:r>
        <w:lastRenderedPageBreak/>
        <w:t xml:space="preserve">În sfera </w:t>
      </w:r>
      <w:r w:rsidR="0053384A">
        <w:t>populației: f</w:t>
      </w:r>
      <w:r>
        <w:t>umătorilor de toate vârstele</w:t>
      </w:r>
      <w:r w:rsidR="0053384A">
        <w:t>, populației generale și, în mod deosebit c</w:t>
      </w:r>
      <w:r>
        <w:t>opiilor si adolescenţilor</w:t>
      </w:r>
      <w:r w:rsidR="0053384A">
        <w:t xml:space="preserve">. </w:t>
      </w:r>
      <w:r w:rsidR="0053384A" w:rsidRPr="0053384A">
        <w:t xml:space="preserve">Abordarea tinerilor fumători este o problemă delicată, care trebuie să ţină cont de specificul transformărilor ce caracterizează această vârstă, dar şi de structura personalităţii fiecărui tînăr. Mai multi factori cresc riscurile de iniţiere a fumatului la tineri: </w:t>
      </w:r>
      <w:r w:rsidR="0053384A">
        <w:t>c</w:t>
      </w:r>
      <w:r w:rsidR="0053384A" w:rsidRPr="0053384A">
        <w:t>uriozitatea naturală a adolescenţilor</w:t>
      </w:r>
      <w:r w:rsidR="0053384A">
        <w:t>,</w:t>
      </w:r>
      <w:r w:rsidR="0053384A" w:rsidRPr="0053384A">
        <w:t xml:space="preserve"> </w:t>
      </w:r>
      <w:r w:rsidR="0053384A">
        <w:t>o</w:t>
      </w:r>
      <w:r w:rsidR="0053384A" w:rsidRPr="0053384A">
        <w:t>pinia prietenilor</w:t>
      </w:r>
      <w:r w:rsidR="0053384A">
        <w:t>,</w:t>
      </w:r>
      <w:r w:rsidR="0053384A" w:rsidRPr="0053384A">
        <w:t xml:space="preserve"> </w:t>
      </w:r>
      <w:r w:rsidR="0053384A">
        <w:t>a</w:t>
      </w:r>
      <w:r w:rsidR="0053384A" w:rsidRPr="0053384A">
        <w:t>titudini şi comportamente familiale permisive faţă de consumul de tutun</w:t>
      </w:r>
      <w:r w:rsidR="0053384A">
        <w:t>,</w:t>
      </w:r>
      <w:r w:rsidR="0053384A" w:rsidRPr="0053384A">
        <w:t xml:space="preserve"> </w:t>
      </w:r>
      <w:r w:rsidR="0053384A">
        <w:t>d</w:t>
      </w:r>
      <w:r w:rsidR="0053384A" w:rsidRPr="0053384A">
        <w:t>isponibilitatea produselor din tutun</w:t>
      </w:r>
      <w:r w:rsidR="0053384A">
        <w:t>,</w:t>
      </w:r>
      <w:r w:rsidR="0053384A" w:rsidRPr="0053384A">
        <w:t xml:space="preserve"> </w:t>
      </w:r>
      <w:r w:rsidR="0053384A">
        <w:t>n</w:t>
      </w:r>
      <w:r w:rsidR="0053384A" w:rsidRPr="0053384A">
        <w:t>evoia de noi experienţe şi emoţii</w:t>
      </w:r>
      <w:r w:rsidR="0053384A">
        <w:t>,</w:t>
      </w:r>
      <w:r w:rsidR="0053384A" w:rsidRPr="0053384A">
        <w:t xml:space="preserve"> </w:t>
      </w:r>
      <w:r w:rsidR="0053384A">
        <w:t>i</w:t>
      </w:r>
      <w:r w:rsidR="0053384A" w:rsidRPr="0053384A">
        <w:t>nsecuritatea</w:t>
      </w:r>
      <w:r w:rsidR="0053384A">
        <w:t>,e</w:t>
      </w:r>
      <w:r w:rsidR="0053384A" w:rsidRPr="0053384A">
        <w:t>şecul şcolar</w:t>
      </w:r>
      <w:r w:rsidR="0053384A">
        <w:t>, etc. Tinerii sunt, din datele recente privind consumul de tutun grupa poulațională cu</w:t>
      </w:r>
      <w:r>
        <w:t xml:space="preserve"> cea mai mare creștere a prevalenței </w:t>
      </w:r>
      <w:r w:rsidR="0053384A">
        <w:t>și, împreună cu populația de sex feminin de toate vârstele, reprezintă o țintă pentru industria tutunului</w:t>
      </w:r>
      <w:r>
        <w:t>.</w:t>
      </w:r>
    </w:p>
    <w:p w14:paraId="217E3776" w14:textId="3D16BC4B" w:rsidR="0053384A" w:rsidRPr="0053384A" w:rsidRDefault="0053384A" w:rsidP="000D781D">
      <w:pPr>
        <w:autoSpaceDE w:val="0"/>
        <w:autoSpaceDN w:val="0"/>
        <w:adjustRightInd w:val="0"/>
        <w:spacing w:before="0" w:beforeAutospacing="0" w:after="120" w:afterAutospacing="0"/>
        <w:jc w:val="left"/>
        <w:rPr>
          <w:i/>
          <w:iCs/>
          <w:color w:val="000000"/>
        </w:rPr>
      </w:pPr>
      <w:r w:rsidRPr="000D781D">
        <w:rPr>
          <w:b/>
          <w:bCs/>
          <w:color w:val="000000"/>
        </w:rPr>
        <w:t xml:space="preserve">V. </w:t>
      </w:r>
      <w:r w:rsidRPr="0053384A">
        <w:rPr>
          <w:b/>
          <w:bCs/>
          <w:i/>
          <w:iCs/>
          <w:color w:val="000000"/>
        </w:rPr>
        <w:t xml:space="preserve">Campanii IEC desfăşurate până în prezent în România </w:t>
      </w:r>
      <w:r w:rsidRPr="000D781D">
        <w:rPr>
          <w:b/>
          <w:bCs/>
          <w:i/>
          <w:iCs/>
          <w:color w:val="000000"/>
        </w:rPr>
        <w:t>pentru ZNT</w:t>
      </w:r>
    </w:p>
    <w:p w14:paraId="2F7082A0" w14:textId="77777777" w:rsidR="000D781D" w:rsidRPr="000D781D" w:rsidRDefault="0053384A" w:rsidP="000D781D">
      <w:pPr>
        <w:autoSpaceDE w:val="0"/>
        <w:autoSpaceDN w:val="0"/>
        <w:adjustRightInd w:val="0"/>
        <w:spacing w:before="0" w:beforeAutospacing="0" w:after="120" w:afterAutospacing="0"/>
        <w:jc w:val="left"/>
        <w:rPr>
          <w:color w:val="000000"/>
        </w:rPr>
      </w:pPr>
      <w:r w:rsidRPr="0053384A">
        <w:rPr>
          <w:color w:val="000000"/>
        </w:rPr>
        <w:t xml:space="preserve">Campaniile organizate în ultimii ani şi-au propus să conştientizeze anual populaţia cu privire la efectele nocive ale tutunului şi în acelaşi timp să încurajeze promovarea unui stil de viaţă sănătos. </w:t>
      </w:r>
    </w:p>
    <w:p w14:paraId="3C00D0BB" w14:textId="516B926E" w:rsidR="000D781D" w:rsidRPr="000D781D" w:rsidRDefault="000D781D" w:rsidP="000D781D">
      <w:pPr>
        <w:autoSpaceDE w:val="0"/>
        <w:autoSpaceDN w:val="0"/>
        <w:adjustRightInd w:val="0"/>
        <w:spacing w:before="0" w:beforeAutospacing="0" w:after="120" w:afterAutospacing="0"/>
        <w:jc w:val="left"/>
        <w:rPr>
          <w:color w:val="000000"/>
        </w:rPr>
      </w:pPr>
      <w:r w:rsidRPr="000D781D">
        <w:rPr>
          <w:color w:val="000000"/>
        </w:rPr>
        <w:t>Î</w:t>
      </w:r>
      <w:r w:rsidR="0053384A" w:rsidRPr="0053384A">
        <w:rPr>
          <w:color w:val="000000"/>
        </w:rPr>
        <w:t xml:space="preserve">n anul 2010 campania de celebrare a Zilei Naţionale fără Tutun s-a desfăşurat sub sloganul </w:t>
      </w:r>
      <w:r w:rsidR="0053384A" w:rsidRPr="0053384A">
        <w:rPr>
          <w:i/>
          <w:iCs/>
          <w:color w:val="000000"/>
        </w:rPr>
        <w:t>„</w:t>
      </w:r>
      <w:r w:rsidR="0053384A" w:rsidRPr="0053384A">
        <w:rPr>
          <w:b/>
          <w:bCs/>
          <w:i/>
          <w:iCs/>
          <w:color w:val="000000"/>
        </w:rPr>
        <w:t>Fără tutun, pentru o viaţă mai lungă şi sănătoasă !</w:t>
      </w:r>
      <w:r w:rsidR="0053384A" w:rsidRPr="0053384A">
        <w:rPr>
          <w:i/>
          <w:iCs/>
          <w:color w:val="000000"/>
        </w:rPr>
        <w:t>”</w:t>
      </w:r>
      <w:r w:rsidR="0053384A" w:rsidRPr="0053384A">
        <w:rPr>
          <w:color w:val="000000"/>
        </w:rPr>
        <w:t xml:space="preserve">, </w:t>
      </w:r>
    </w:p>
    <w:p w14:paraId="06CF1C9C" w14:textId="77777777" w:rsidR="000D781D" w:rsidRPr="000D781D" w:rsidRDefault="000D781D" w:rsidP="000D781D">
      <w:pPr>
        <w:autoSpaceDE w:val="0"/>
        <w:autoSpaceDN w:val="0"/>
        <w:adjustRightInd w:val="0"/>
        <w:spacing w:before="0" w:beforeAutospacing="0" w:after="120" w:afterAutospacing="0"/>
        <w:jc w:val="left"/>
        <w:rPr>
          <w:color w:val="000000"/>
        </w:rPr>
      </w:pPr>
      <w:r w:rsidRPr="000D781D">
        <w:rPr>
          <w:color w:val="000000"/>
        </w:rPr>
        <w:t>Î</w:t>
      </w:r>
      <w:r w:rsidR="0053384A" w:rsidRPr="0053384A">
        <w:rPr>
          <w:color w:val="000000"/>
        </w:rPr>
        <w:t xml:space="preserve">n anul 2011 s-a derulat campania: </w:t>
      </w:r>
      <w:r w:rsidR="0053384A" w:rsidRPr="0053384A">
        <w:rPr>
          <w:b/>
          <w:bCs/>
          <w:i/>
          <w:iCs/>
          <w:color w:val="000000"/>
        </w:rPr>
        <w:t xml:space="preserve">„Spune da VIEŢII! Spune NU tutunului!” </w:t>
      </w:r>
    </w:p>
    <w:p w14:paraId="02225F12" w14:textId="2A23E5F1" w:rsidR="0053384A" w:rsidRPr="0053384A" w:rsidRDefault="000D781D" w:rsidP="000D781D">
      <w:pPr>
        <w:autoSpaceDE w:val="0"/>
        <w:autoSpaceDN w:val="0"/>
        <w:adjustRightInd w:val="0"/>
        <w:spacing w:before="0" w:beforeAutospacing="0" w:after="120" w:afterAutospacing="0"/>
        <w:jc w:val="left"/>
        <w:rPr>
          <w:color w:val="000000"/>
        </w:rPr>
      </w:pPr>
      <w:r w:rsidRPr="000D781D">
        <w:rPr>
          <w:color w:val="000000"/>
        </w:rPr>
        <w:t>Î</w:t>
      </w:r>
      <w:r w:rsidRPr="0053384A">
        <w:rPr>
          <w:color w:val="000000"/>
        </w:rPr>
        <w:t>n anul 2012</w:t>
      </w:r>
      <w:r w:rsidRPr="000D781D">
        <w:rPr>
          <w:b/>
          <w:bCs/>
          <w:color w:val="000000"/>
        </w:rPr>
        <w:t xml:space="preserve"> </w:t>
      </w:r>
      <w:r w:rsidRPr="000D781D">
        <w:rPr>
          <w:color w:val="000000"/>
        </w:rPr>
        <w:t>Campania</w:t>
      </w:r>
      <w:r w:rsidRPr="000D781D">
        <w:rPr>
          <w:b/>
          <w:bCs/>
          <w:color w:val="000000"/>
        </w:rPr>
        <w:t xml:space="preserve"> </w:t>
      </w:r>
      <w:r w:rsidR="0053384A" w:rsidRPr="0053384A">
        <w:rPr>
          <w:b/>
          <w:bCs/>
          <w:color w:val="000000"/>
        </w:rPr>
        <w:t>„</w:t>
      </w:r>
      <w:r w:rsidR="0053384A" w:rsidRPr="0053384A">
        <w:rPr>
          <w:b/>
          <w:bCs/>
          <w:i/>
          <w:iCs/>
          <w:color w:val="000000"/>
        </w:rPr>
        <w:t>Câştigă independenţa faţă de fumat</w:t>
      </w:r>
      <w:r w:rsidR="0053384A" w:rsidRPr="0053384A">
        <w:rPr>
          <w:b/>
          <w:bCs/>
          <w:color w:val="000000"/>
        </w:rPr>
        <w:t>!”</w:t>
      </w:r>
      <w:r w:rsidR="0053384A" w:rsidRPr="0053384A">
        <w:rPr>
          <w:color w:val="000000"/>
        </w:rPr>
        <w:t xml:space="preserve">. </w:t>
      </w:r>
    </w:p>
    <w:p w14:paraId="7BA5E7AA" w14:textId="77777777" w:rsidR="0053384A" w:rsidRPr="0053384A" w:rsidRDefault="0053384A" w:rsidP="000D781D">
      <w:pPr>
        <w:autoSpaceDE w:val="0"/>
        <w:autoSpaceDN w:val="0"/>
        <w:adjustRightInd w:val="0"/>
        <w:spacing w:before="0" w:beforeAutospacing="0" w:after="120" w:afterAutospacing="0"/>
        <w:jc w:val="left"/>
        <w:rPr>
          <w:color w:val="000000"/>
        </w:rPr>
      </w:pPr>
      <w:r w:rsidRPr="0053384A">
        <w:rPr>
          <w:color w:val="000000"/>
        </w:rPr>
        <w:t xml:space="preserve">2013: Campania </w:t>
      </w:r>
      <w:r w:rsidRPr="0053384A">
        <w:rPr>
          <w:b/>
          <w:bCs/>
          <w:color w:val="000000"/>
        </w:rPr>
        <w:t>„</w:t>
      </w:r>
      <w:r w:rsidRPr="0053384A">
        <w:rPr>
          <w:b/>
          <w:bCs/>
          <w:i/>
          <w:iCs/>
          <w:color w:val="000000"/>
        </w:rPr>
        <w:t xml:space="preserve">Eu am reuşit. Alege să nu fumezi!" </w:t>
      </w:r>
    </w:p>
    <w:p w14:paraId="26B55275" w14:textId="77777777" w:rsidR="0053384A" w:rsidRPr="0053384A" w:rsidRDefault="0053384A" w:rsidP="000D781D">
      <w:pPr>
        <w:autoSpaceDE w:val="0"/>
        <w:autoSpaceDN w:val="0"/>
        <w:adjustRightInd w:val="0"/>
        <w:spacing w:before="0" w:beforeAutospacing="0" w:after="120" w:afterAutospacing="0"/>
        <w:jc w:val="left"/>
        <w:rPr>
          <w:color w:val="000000"/>
        </w:rPr>
      </w:pPr>
      <w:r w:rsidRPr="0053384A">
        <w:rPr>
          <w:color w:val="000000"/>
        </w:rPr>
        <w:t xml:space="preserve">2014: Campania </w:t>
      </w:r>
      <w:r w:rsidRPr="0053384A">
        <w:rPr>
          <w:i/>
          <w:iCs/>
          <w:color w:val="000000"/>
        </w:rPr>
        <w:t>„</w:t>
      </w:r>
      <w:r w:rsidRPr="0053384A">
        <w:rPr>
          <w:b/>
          <w:bCs/>
          <w:i/>
          <w:iCs/>
          <w:color w:val="000000"/>
        </w:rPr>
        <w:t xml:space="preserve">Alege să fii sănătos! Alege să nu fumezi!” </w:t>
      </w:r>
    </w:p>
    <w:p w14:paraId="15291A10" w14:textId="77777777" w:rsidR="0053384A" w:rsidRPr="0053384A" w:rsidRDefault="0053384A" w:rsidP="000D781D">
      <w:pPr>
        <w:autoSpaceDE w:val="0"/>
        <w:autoSpaceDN w:val="0"/>
        <w:adjustRightInd w:val="0"/>
        <w:spacing w:before="0" w:beforeAutospacing="0" w:after="120" w:afterAutospacing="0"/>
        <w:jc w:val="left"/>
        <w:rPr>
          <w:color w:val="000000"/>
        </w:rPr>
      </w:pPr>
      <w:r w:rsidRPr="0053384A">
        <w:rPr>
          <w:color w:val="000000"/>
        </w:rPr>
        <w:t xml:space="preserve">2015: Campania </w:t>
      </w:r>
      <w:r w:rsidRPr="0053384A">
        <w:rPr>
          <w:b/>
          <w:bCs/>
          <w:i/>
          <w:iCs/>
          <w:color w:val="000000"/>
        </w:rPr>
        <w:t xml:space="preserve">„Învinge dependența de tutun! Recâștigă-ți sănătatea!” </w:t>
      </w:r>
    </w:p>
    <w:p w14:paraId="64D99D32" w14:textId="77777777" w:rsidR="0053384A" w:rsidRPr="0053384A" w:rsidRDefault="0053384A" w:rsidP="000D781D">
      <w:pPr>
        <w:autoSpaceDE w:val="0"/>
        <w:autoSpaceDN w:val="0"/>
        <w:adjustRightInd w:val="0"/>
        <w:spacing w:before="0" w:beforeAutospacing="0" w:after="120" w:afterAutospacing="0"/>
        <w:jc w:val="left"/>
        <w:rPr>
          <w:color w:val="000000"/>
        </w:rPr>
      </w:pPr>
      <w:r w:rsidRPr="0053384A">
        <w:rPr>
          <w:color w:val="000000"/>
        </w:rPr>
        <w:t xml:space="preserve">2016: Campania </w:t>
      </w:r>
      <w:r w:rsidRPr="0053384A">
        <w:rPr>
          <w:b/>
          <w:bCs/>
          <w:i/>
          <w:iCs/>
          <w:color w:val="000000"/>
        </w:rPr>
        <w:t xml:space="preserve">„Învinge dependența de tutun! Recâștigă-ți sănătatea” </w:t>
      </w:r>
    </w:p>
    <w:p w14:paraId="4102111E" w14:textId="7303FB8F" w:rsidR="0053384A" w:rsidRDefault="0053384A" w:rsidP="000D781D">
      <w:pPr>
        <w:spacing w:before="0" w:beforeAutospacing="0" w:after="120" w:afterAutospacing="0"/>
        <w:rPr>
          <w:b/>
          <w:bCs/>
          <w:i/>
          <w:iCs/>
          <w:color w:val="000000"/>
        </w:rPr>
      </w:pPr>
      <w:r w:rsidRPr="000D781D">
        <w:rPr>
          <w:color w:val="000000"/>
        </w:rPr>
        <w:t xml:space="preserve">În anul 2017 campania de celebrare a zilei naţionale fără tutun s-a desfăşurat sub sloganul </w:t>
      </w:r>
      <w:r w:rsidRPr="000D781D">
        <w:rPr>
          <w:b/>
          <w:bCs/>
          <w:i/>
          <w:iCs/>
          <w:color w:val="000000"/>
        </w:rPr>
        <w:t>„Învinge dependența de tutun! Recâștigă-ți sănătatea!”</w:t>
      </w:r>
    </w:p>
    <w:p w14:paraId="47CA8B92" w14:textId="7A97B459" w:rsidR="007506E3" w:rsidRPr="007506E3" w:rsidRDefault="007506E3" w:rsidP="000D781D">
      <w:pPr>
        <w:spacing w:before="0" w:beforeAutospacing="0" w:after="120" w:afterAutospacing="0"/>
      </w:pPr>
      <w:r w:rsidRPr="007506E3">
        <w:rPr>
          <w:bCs/>
          <w:iCs/>
          <w:color w:val="000000"/>
        </w:rPr>
        <w:t>În anul 2018 campania s-a derulat sub sloganul</w:t>
      </w:r>
      <w:r>
        <w:rPr>
          <w:b/>
          <w:bCs/>
          <w:iCs/>
          <w:color w:val="000000"/>
        </w:rPr>
        <w:t xml:space="preserve"> </w:t>
      </w:r>
      <w:r>
        <w:rPr>
          <w:b/>
          <w:bCs/>
          <w:noProof/>
          <w:sz w:val="24"/>
          <w:szCs w:val="24"/>
        </w:rPr>
        <w:t xml:space="preserve"> „ Alege sa fii sanatos! Alege sa nu fumezi! ”.</w:t>
      </w:r>
    </w:p>
    <w:p w14:paraId="20A15E94" w14:textId="77777777" w:rsidR="0039721C" w:rsidRPr="000D781D" w:rsidRDefault="0039721C" w:rsidP="000D781D">
      <w:pPr>
        <w:spacing w:before="0" w:beforeAutospacing="0" w:after="120" w:afterAutospacing="0"/>
      </w:pPr>
    </w:p>
    <w:p w14:paraId="5DB305B9" w14:textId="77777777" w:rsidR="000D781D" w:rsidRDefault="000D781D" w:rsidP="000D781D">
      <w:pPr>
        <w:spacing w:before="0" w:beforeAutospacing="0" w:after="120" w:afterAutospacing="0"/>
        <w:rPr>
          <w:b/>
          <w:bCs/>
        </w:rPr>
      </w:pPr>
    </w:p>
    <w:p w14:paraId="65256E23" w14:textId="30919FFA" w:rsidR="00D71D5D" w:rsidRDefault="000D781D" w:rsidP="000D781D">
      <w:pPr>
        <w:spacing w:before="0" w:beforeAutospacing="0" w:after="120" w:afterAutospacing="0"/>
        <w:rPr>
          <w:b/>
          <w:bCs/>
        </w:rPr>
      </w:pPr>
      <w:r w:rsidRPr="000D781D">
        <w:rPr>
          <w:b/>
          <w:bCs/>
        </w:rPr>
        <w:t>VI. Bibliografie</w:t>
      </w:r>
    </w:p>
    <w:p w14:paraId="47982FEC" w14:textId="42BA5D4E" w:rsidR="00B406D1" w:rsidRPr="000D781D" w:rsidRDefault="0086028D" w:rsidP="0019519F">
      <w:pPr>
        <w:spacing w:before="0" w:beforeAutospacing="0" w:after="120" w:afterAutospacing="0"/>
      </w:pPr>
      <w:r w:rsidRPr="000D781D">
        <w:t>1. GBD compare – Viz Hub. In: Institute for Health Metrics and Evaluation [website]. Seattle (WA): Institute for Health Metrics and Evaluation; 2017 (</w:t>
      </w:r>
      <w:r w:rsidRPr="000D781D">
        <w:fldChar w:fldCharType="begin"/>
      </w:r>
      <w:r w:rsidRPr="000D781D">
        <w:instrText xml:space="preserve"> HYPERLINK "https://vizhub.healthdata.org/gbd-compare/" </w:instrText>
      </w:r>
      <w:r w:rsidRPr="000D781D">
        <w:fldChar w:fldCharType="separate"/>
      </w:r>
      <w:r w:rsidRPr="000D781D">
        <w:rPr>
          <w:rStyle w:val="Hyperlink"/>
        </w:rPr>
        <w:t>https://vizhub.healthdata.org/gbd-compare/</w:t>
      </w:r>
      <w:r w:rsidRPr="000D781D">
        <w:fldChar w:fldCharType="end"/>
      </w:r>
      <w:r w:rsidRPr="000D781D">
        <w:t>).</w:t>
      </w:r>
    </w:p>
    <w:p w14:paraId="753980AA" w14:textId="288E248B" w:rsidR="0086028D" w:rsidRPr="000D781D" w:rsidRDefault="0086028D" w:rsidP="0019519F">
      <w:pPr>
        <w:spacing w:before="0" w:beforeAutospacing="0" w:after="120" w:afterAutospacing="0"/>
      </w:pPr>
      <w:r w:rsidRPr="000D781D">
        <w:t xml:space="preserve">2. Tobacco: key facts. In: World Health Organization [website]. Geneva: World Health Organization; 2019 (https://www.who.int/news-room/fact-sheets/detail/tobacco). </w:t>
      </w:r>
    </w:p>
    <w:p w14:paraId="3A09F7B7" w14:textId="242F8347" w:rsidR="0086028D" w:rsidRPr="000D781D" w:rsidRDefault="0086028D" w:rsidP="0019519F">
      <w:pPr>
        <w:spacing w:before="0" w:beforeAutospacing="0" w:after="120" w:afterAutospacing="0"/>
      </w:pPr>
      <w:r w:rsidRPr="000D781D">
        <w:t xml:space="preserve">3. Public policies for the public’s health. In: The world health report 2008. Primary health care – now more than ever. Geneva: World Health Organization; 2008:63–78 (https://www.who.int/whr/2008/chapter4/en). </w:t>
      </w:r>
    </w:p>
    <w:p w14:paraId="1E5C3D76" w14:textId="57C5CEA2" w:rsidR="0086028D" w:rsidRPr="000D781D" w:rsidRDefault="0086028D" w:rsidP="0019519F">
      <w:pPr>
        <w:spacing w:before="0" w:beforeAutospacing="0" w:after="120" w:afterAutospacing="0"/>
      </w:pPr>
      <w:r w:rsidRPr="000D781D">
        <w:t>4. Tobacco: overview. In: World Health Organization [website]. Geneva: World Health Organization; 2019 (https://www.who.int/health-topics/tobacco).</w:t>
      </w:r>
    </w:p>
    <w:p w14:paraId="61CF9285" w14:textId="270B981E" w:rsidR="0086028D" w:rsidRPr="000D781D" w:rsidRDefault="0086028D" w:rsidP="0019519F">
      <w:pPr>
        <w:spacing w:before="0" w:beforeAutospacing="0" w:after="120" w:afterAutospacing="0"/>
      </w:pPr>
      <w:r w:rsidRPr="000D781D">
        <w:t>5. Goodchild M, Nargis N, Tursan d'Espaignet E. Global economic cost of smoking-attributable diseases. Tob Control 2018;27:58–64.</w:t>
      </w:r>
      <w:r w:rsidR="00F9404D" w:rsidRPr="000D781D">
        <w:t xml:space="preserve"> </w:t>
      </w:r>
    </w:p>
    <w:p w14:paraId="3BEFFB7A" w14:textId="7DE07594" w:rsidR="00F9404D" w:rsidRPr="000D781D" w:rsidRDefault="0086028D" w:rsidP="0019519F">
      <w:pPr>
        <w:spacing w:before="0" w:beforeAutospacing="0" w:after="120" w:afterAutospacing="0"/>
        <w:jc w:val="left"/>
      </w:pPr>
      <w:r w:rsidRPr="000D781D">
        <w:t xml:space="preserve">6. </w:t>
      </w:r>
      <w:r w:rsidR="00F9404D" w:rsidRPr="000D781D">
        <w:t xml:space="preserve">European Tobacco Use. Trends Report 2019 </w:t>
      </w:r>
      <w:r w:rsidR="00965EF9" w:rsidRPr="000D781D">
        <w:fldChar w:fldCharType="begin"/>
      </w:r>
      <w:r w:rsidR="00965EF9" w:rsidRPr="000D781D">
        <w:instrText xml:space="preserve"> HYPERLINK "http://www.euro.who.int/__data/assets/pdf_file/0009/402777/Tobacco-Trends-Report-ENG-WEB.pdf?ua=1" </w:instrText>
      </w:r>
      <w:r w:rsidR="00965EF9" w:rsidRPr="000D781D">
        <w:fldChar w:fldCharType="separate"/>
      </w:r>
      <w:r w:rsidR="00F9404D" w:rsidRPr="000D781D">
        <w:rPr>
          <w:rStyle w:val="Hyperlink"/>
        </w:rPr>
        <w:t>http://www.euro.who.int/__data/assets/pdf_file/0009/402777/Tobacco-Trends-Report-ENG-WEB.pdf?ua=1</w:t>
      </w:r>
      <w:r w:rsidR="00965EF9" w:rsidRPr="000D781D">
        <w:rPr>
          <w:rStyle w:val="Hyperlink"/>
        </w:rPr>
        <w:fldChar w:fldCharType="end"/>
      </w:r>
    </w:p>
    <w:p w14:paraId="008F451A" w14:textId="77777777" w:rsidR="00D370A8" w:rsidRPr="000D781D" w:rsidRDefault="00F9404D" w:rsidP="0019519F">
      <w:pPr>
        <w:autoSpaceDE w:val="0"/>
        <w:autoSpaceDN w:val="0"/>
        <w:adjustRightInd w:val="0"/>
        <w:spacing w:before="0" w:beforeAutospacing="0" w:after="120" w:afterAutospacing="0"/>
        <w:jc w:val="left"/>
        <w:rPr>
          <w:color w:val="0000FF"/>
          <w:lang w:val="en-US"/>
        </w:rPr>
      </w:pPr>
      <w:r w:rsidRPr="000D781D">
        <w:t xml:space="preserve">7. </w:t>
      </w:r>
      <w:r w:rsidR="00D370A8" w:rsidRPr="000D781D">
        <w:rPr>
          <w:color w:val="000000"/>
          <w:lang w:val="en-US"/>
        </w:rPr>
        <w:t xml:space="preserve">European Network for Smoking Prevention: </w:t>
      </w:r>
      <w:r w:rsidR="00D370A8" w:rsidRPr="000D781D">
        <w:rPr>
          <w:color w:val="0000FF"/>
          <w:lang w:val="en-US"/>
        </w:rPr>
        <w:t>http://ensp.org/wp-content/uploads/2016/09/Mapsof-</w:t>
      </w:r>
    </w:p>
    <w:p w14:paraId="135A9864" w14:textId="77777777" w:rsidR="00F9404D" w:rsidRPr="000D781D" w:rsidRDefault="00D370A8" w:rsidP="0019519F">
      <w:pPr>
        <w:spacing w:before="0" w:beforeAutospacing="0" w:after="120" w:afterAutospacing="0"/>
      </w:pPr>
      <w:proofErr w:type="gramStart"/>
      <w:r w:rsidRPr="000D781D">
        <w:rPr>
          <w:color w:val="0000FF"/>
          <w:lang w:val="en-US"/>
        </w:rPr>
        <w:t>smokefree-policy-in-Europe.pdf</w:t>
      </w:r>
      <w:proofErr w:type="gramEnd"/>
    </w:p>
    <w:p w14:paraId="1594F2AC" w14:textId="36582E9C" w:rsidR="008775E1" w:rsidRPr="000D781D" w:rsidRDefault="00D001A4" w:rsidP="0019519F">
      <w:pPr>
        <w:spacing w:before="0" w:beforeAutospacing="0" w:after="120" w:afterAutospacing="0"/>
      </w:pPr>
      <w:r w:rsidRPr="000D781D">
        <w:lastRenderedPageBreak/>
        <w:t>8</w:t>
      </w:r>
      <w:r w:rsidR="004159D1" w:rsidRPr="000D781D">
        <w:t xml:space="preserve">. </w:t>
      </w:r>
      <w:r w:rsidR="00AA53A7" w:rsidRPr="000D781D">
        <w:t>WHO global report: mortality attributable to tobacco. Geneva: World Health Organization; 2012 (</w:t>
      </w:r>
      <w:r w:rsidR="00965EF9" w:rsidRPr="000D781D">
        <w:fldChar w:fldCharType="begin"/>
      </w:r>
      <w:r w:rsidR="00965EF9" w:rsidRPr="000D781D">
        <w:instrText xml:space="preserve"> HYPERLINK "https://www.who.int/tobacco/publications/surveillance/rep_mortality_attributable/en/" </w:instrText>
      </w:r>
      <w:r w:rsidR="00965EF9" w:rsidRPr="000D781D">
        <w:fldChar w:fldCharType="separate"/>
      </w:r>
      <w:r w:rsidR="00AA53A7" w:rsidRPr="000D781D">
        <w:rPr>
          <w:rStyle w:val="Hyperlink"/>
        </w:rPr>
        <w:t>https://www.who.int/tobacco/publications/surveillance/rep_mortality_attributable/en/</w:t>
      </w:r>
      <w:r w:rsidR="00965EF9" w:rsidRPr="000D781D">
        <w:rPr>
          <w:rStyle w:val="Hyperlink"/>
        </w:rPr>
        <w:fldChar w:fldCharType="end"/>
      </w:r>
      <w:r w:rsidR="00AA53A7" w:rsidRPr="000D781D">
        <w:t>).</w:t>
      </w:r>
    </w:p>
    <w:p w14:paraId="0E2E7443" w14:textId="37F463DD" w:rsidR="00AA53A7" w:rsidRPr="000D781D" w:rsidRDefault="004159D1" w:rsidP="0019519F">
      <w:pPr>
        <w:spacing w:before="0" w:beforeAutospacing="0" w:after="120" w:afterAutospacing="0"/>
      </w:pPr>
      <w:r w:rsidRPr="000D781D">
        <w:t xml:space="preserve">9. </w:t>
      </w:r>
      <w:r w:rsidR="00AA53A7" w:rsidRPr="000D781D">
        <w:t>European noncommunicable diseases country profiles 2018 update. In: WHO Regional Office for Europe [website]. Copenhagen: WHO Regional Office for Europe; 2018 (</w:t>
      </w:r>
      <w:r w:rsidR="007C12C0" w:rsidRPr="000D781D">
        <w:fldChar w:fldCharType="begin"/>
      </w:r>
      <w:r w:rsidR="007C12C0" w:rsidRPr="000D781D">
        <w:instrText xml:space="preserve"> HYPERLINK "https://ivorakovac.bitbucket.io/CountryProfiles/" </w:instrText>
      </w:r>
      <w:r w:rsidR="007C12C0" w:rsidRPr="000D781D">
        <w:fldChar w:fldCharType="separate"/>
      </w:r>
      <w:r w:rsidR="007C12C0" w:rsidRPr="000D781D">
        <w:rPr>
          <w:rStyle w:val="Hyperlink"/>
        </w:rPr>
        <w:t>https://ivorakovac.bitbucket.io/CountryProfiles/</w:t>
      </w:r>
      <w:r w:rsidR="007C12C0" w:rsidRPr="000D781D">
        <w:fldChar w:fldCharType="end"/>
      </w:r>
      <w:r w:rsidR="00AA53A7" w:rsidRPr="000D781D">
        <w:t>).</w:t>
      </w:r>
    </w:p>
    <w:p w14:paraId="09DCA73C" w14:textId="02D7795D" w:rsidR="007C12C0" w:rsidRPr="000D781D" w:rsidRDefault="007C12C0" w:rsidP="0019519F">
      <w:pPr>
        <w:spacing w:before="0" w:beforeAutospacing="0" w:after="120" w:afterAutospacing="0"/>
      </w:pPr>
      <w:r w:rsidRPr="000D781D">
        <w:t xml:space="preserve">10. Special Eurobarometer 458: Attitudes of Europeans towards tobacco and electronic cigarettes </w:t>
      </w:r>
      <w:hyperlink r:id="rId19" w:history="1">
        <w:r w:rsidRPr="000D781D">
          <w:rPr>
            <w:rStyle w:val="Hyperlink"/>
          </w:rPr>
          <w:t>http://data.europa.eu/euodp/en/data/dataset/S2146_87_1_458_ENG</w:t>
        </w:r>
      </w:hyperlink>
      <w:r w:rsidRPr="000D781D">
        <w:t xml:space="preserve"> </w:t>
      </w:r>
    </w:p>
    <w:p w14:paraId="7B429524" w14:textId="6F3134B8" w:rsidR="0086028D" w:rsidRPr="000D781D" w:rsidRDefault="0086028D" w:rsidP="0019519F">
      <w:pPr>
        <w:spacing w:before="0" w:beforeAutospacing="0" w:after="120" w:afterAutospacing="0"/>
      </w:pPr>
      <w:r w:rsidRPr="000D781D">
        <w:t>11. WHO Framework Convention of Tobacco Control, Eighth session of the Conference of Parties, Geneva, Decision FCTC/COP8/22, Switzerland, 1−6 October 2018. Geneva: World Health Organization; 2018 (https://www.who.int/fctc/cop/sessions/cop8/FCTC__COP8(22).pdf?ua=1).</w:t>
      </w:r>
    </w:p>
    <w:p w14:paraId="1F579CAF" w14:textId="4DC86930" w:rsidR="0086028D" w:rsidRPr="000D781D" w:rsidRDefault="0086028D" w:rsidP="0019519F">
      <w:pPr>
        <w:spacing w:before="0" w:beforeAutospacing="0" w:after="120" w:afterAutospacing="0"/>
      </w:pPr>
      <w:r w:rsidRPr="000D781D">
        <w:t>12. WHO report on the global tobacco epidemic, 2019. Offer help to quit tobacco use. Geneva: World Health Organization; 2019:54 (</w:t>
      </w:r>
      <w:r w:rsidRPr="000D781D">
        <w:fldChar w:fldCharType="begin"/>
      </w:r>
      <w:r w:rsidRPr="000D781D">
        <w:instrText xml:space="preserve"> HYPERLINK "https://apps.who.int/iris/bitstream/handle/10665/326043/9789241516204-eng.pdf?ua=1" </w:instrText>
      </w:r>
      <w:r w:rsidRPr="000D781D">
        <w:fldChar w:fldCharType="separate"/>
      </w:r>
      <w:r w:rsidRPr="000D781D">
        <w:rPr>
          <w:rStyle w:val="Hyperlink"/>
        </w:rPr>
        <w:t>https://apps.who.int/iris/bitstream/handle/10665/326043/9789241516204-eng.pdf?ua=1</w:t>
      </w:r>
      <w:r w:rsidRPr="000D781D">
        <w:fldChar w:fldCharType="end"/>
      </w:r>
      <w:r w:rsidRPr="000D781D">
        <w:t>).</w:t>
      </w:r>
    </w:p>
    <w:p w14:paraId="4285051E" w14:textId="5360A41D" w:rsidR="0086028D" w:rsidRPr="000D781D" w:rsidRDefault="0086028D" w:rsidP="0019519F">
      <w:pPr>
        <w:autoSpaceDE w:val="0"/>
        <w:autoSpaceDN w:val="0"/>
        <w:adjustRightInd w:val="0"/>
        <w:spacing w:before="0" w:beforeAutospacing="0" w:after="120" w:afterAutospacing="0"/>
        <w:jc w:val="left"/>
        <w:rPr>
          <w:color w:val="0000FF"/>
          <w:lang w:val="fr-FR"/>
        </w:rPr>
      </w:pPr>
      <w:r w:rsidRPr="000D781D">
        <w:t xml:space="preserve">13. </w:t>
      </w:r>
      <w:r w:rsidRPr="000D781D">
        <w:rPr>
          <w:color w:val="000000"/>
          <w:lang w:val="fr-FR"/>
        </w:rPr>
        <w:t xml:space="preserve">Cucu A, </w:t>
      </w:r>
      <w:proofErr w:type="spellStart"/>
      <w:r w:rsidRPr="000D781D">
        <w:rPr>
          <w:color w:val="000000"/>
          <w:lang w:val="fr-FR"/>
        </w:rPr>
        <w:t>Cristea</w:t>
      </w:r>
      <w:proofErr w:type="spellEnd"/>
      <w:r w:rsidRPr="000D781D">
        <w:rPr>
          <w:color w:val="000000"/>
          <w:lang w:val="fr-FR"/>
        </w:rPr>
        <w:t xml:space="preserve"> C, Calomfirescu C et al. </w:t>
      </w:r>
      <w:proofErr w:type="spellStart"/>
      <w:r w:rsidRPr="000D781D">
        <w:rPr>
          <w:color w:val="000000"/>
          <w:lang w:val="fr-FR"/>
        </w:rPr>
        <w:t>Raportul</w:t>
      </w:r>
      <w:proofErr w:type="spellEnd"/>
      <w:r w:rsidRPr="000D781D">
        <w:rPr>
          <w:color w:val="000000"/>
          <w:lang w:val="fr-FR"/>
        </w:rPr>
        <w:t xml:space="preserve"> </w:t>
      </w:r>
      <w:proofErr w:type="spellStart"/>
      <w:r w:rsidRPr="000D781D">
        <w:rPr>
          <w:color w:val="000000"/>
          <w:lang w:val="fr-FR"/>
        </w:rPr>
        <w:t>Național</w:t>
      </w:r>
      <w:proofErr w:type="spellEnd"/>
      <w:r w:rsidRPr="000D781D">
        <w:rPr>
          <w:color w:val="000000"/>
          <w:lang w:val="fr-FR"/>
        </w:rPr>
        <w:t xml:space="preserve"> al </w:t>
      </w:r>
      <w:proofErr w:type="spellStart"/>
      <w:r w:rsidRPr="000D781D">
        <w:rPr>
          <w:color w:val="000000"/>
          <w:lang w:val="fr-FR"/>
        </w:rPr>
        <w:t>Stării</w:t>
      </w:r>
      <w:proofErr w:type="spellEnd"/>
      <w:r w:rsidRPr="000D781D">
        <w:rPr>
          <w:color w:val="000000"/>
          <w:lang w:val="fr-FR"/>
        </w:rPr>
        <w:t xml:space="preserve"> de </w:t>
      </w:r>
      <w:proofErr w:type="spellStart"/>
      <w:r w:rsidRPr="000D781D">
        <w:rPr>
          <w:color w:val="000000"/>
          <w:lang w:val="fr-FR"/>
        </w:rPr>
        <w:t>Sănătate</w:t>
      </w:r>
      <w:proofErr w:type="spellEnd"/>
      <w:r w:rsidRPr="000D781D">
        <w:rPr>
          <w:color w:val="000000"/>
          <w:lang w:val="fr-FR"/>
        </w:rPr>
        <w:t xml:space="preserve"> al </w:t>
      </w:r>
      <w:proofErr w:type="spellStart"/>
      <w:r w:rsidRPr="000D781D">
        <w:rPr>
          <w:color w:val="000000"/>
          <w:lang w:val="fr-FR"/>
        </w:rPr>
        <w:t>Populației</w:t>
      </w:r>
      <w:proofErr w:type="spellEnd"/>
      <w:r w:rsidRPr="000D781D">
        <w:rPr>
          <w:color w:val="000000"/>
          <w:lang w:val="fr-FR"/>
        </w:rPr>
        <w:t xml:space="preserve">, 2017: </w:t>
      </w:r>
      <w:hyperlink r:id="rId20" w:history="1">
        <w:r w:rsidR="00D63A23" w:rsidRPr="000D781D">
          <w:rPr>
            <w:rStyle w:val="Hyperlink"/>
            <w:lang w:val="fr-FR"/>
          </w:rPr>
          <w:t>http://insp.gov.ro/sites/cnepss/wp-content/uploads/2018/11/SSPR-2017.pdf</w:t>
        </w:r>
      </w:hyperlink>
    </w:p>
    <w:p w14:paraId="42878539" w14:textId="615E91B4" w:rsidR="00D63A23" w:rsidRPr="000D781D" w:rsidRDefault="00D63A23" w:rsidP="0019519F">
      <w:pPr>
        <w:autoSpaceDE w:val="0"/>
        <w:autoSpaceDN w:val="0"/>
        <w:adjustRightInd w:val="0"/>
        <w:spacing w:before="0" w:beforeAutospacing="0" w:after="120" w:afterAutospacing="0"/>
        <w:jc w:val="left"/>
      </w:pPr>
      <w:r w:rsidRPr="000D781D">
        <w:rPr>
          <w:lang w:val="fr-FR"/>
        </w:rPr>
        <w:t xml:space="preserve">14. GYTS Romania </w:t>
      </w:r>
      <w:proofErr w:type="spellStart"/>
      <w:r w:rsidRPr="000D781D">
        <w:rPr>
          <w:lang w:val="fr-FR"/>
        </w:rPr>
        <w:t>factsheets</w:t>
      </w:r>
      <w:proofErr w:type="spellEnd"/>
      <w:r w:rsidRPr="000D781D">
        <w:rPr>
          <w:lang w:val="fr-FR"/>
        </w:rPr>
        <w:t xml:space="preserve"> </w:t>
      </w:r>
      <w:hyperlink r:id="rId21" w:history="1">
        <w:r w:rsidRPr="000D781D">
          <w:rPr>
            <w:rStyle w:val="Hyperlink"/>
          </w:rPr>
          <w:t>https://nccd.cdc.gov/GTSSDataSurveyResources/Ancillary/DataReports.aspx?CAID=1</w:t>
        </w:r>
      </w:hyperlink>
    </w:p>
    <w:p w14:paraId="3C4F0DD4" w14:textId="18BC1DD6" w:rsidR="00086CE0" w:rsidRPr="0019519F" w:rsidRDefault="00D85100" w:rsidP="0019519F">
      <w:pPr>
        <w:autoSpaceDE w:val="0"/>
        <w:autoSpaceDN w:val="0"/>
        <w:adjustRightInd w:val="0"/>
        <w:spacing w:before="0" w:beforeAutospacing="0" w:after="120" w:afterAutospacing="0"/>
        <w:jc w:val="left"/>
      </w:pPr>
      <w:r w:rsidRPr="000D781D">
        <w:t>15. Jayes L, Haslam PL, Gratziou CG et al SmokeHaz: Systematic Reviews and Meta-analyses of the</w:t>
      </w:r>
      <w:r w:rsidR="0019519F">
        <w:t xml:space="preserve"> </w:t>
      </w:r>
      <w:r w:rsidRPr="000D781D">
        <w:t xml:space="preserve">Effects of Smoking on Respiratory Health.Chest. 2016 Jul;150(1):164-79. PubMed-US National Library of Medicine National Institutes of Health: </w:t>
      </w:r>
      <w:hyperlink r:id="rId22" w:history="1">
        <w:r w:rsidR="00086CE0" w:rsidRPr="000D781D">
          <w:rPr>
            <w:rStyle w:val="Hyperlink"/>
            <w:lang w:val="en-US"/>
          </w:rPr>
          <w:t>https://www.ncbi.nlm.nih.gov/pubmed/27102185</w:t>
        </w:r>
      </w:hyperlink>
      <w:r w:rsidR="00086CE0" w:rsidRPr="000D781D">
        <w:rPr>
          <w:color w:val="0000FF"/>
          <w:lang w:val="en-US"/>
        </w:rPr>
        <w:t xml:space="preserve">  </w:t>
      </w:r>
    </w:p>
    <w:p w14:paraId="6EE852AE" w14:textId="77777777" w:rsidR="00086CE0" w:rsidRPr="000D781D" w:rsidRDefault="00086CE0" w:rsidP="0019519F">
      <w:pPr>
        <w:autoSpaceDE w:val="0"/>
        <w:autoSpaceDN w:val="0"/>
        <w:adjustRightInd w:val="0"/>
        <w:spacing w:before="0" w:beforeAutospacing="0" w:after="120" w:afterAutospacing="0"/>
        <w:jc w:val="left"/>
        <w:rPr>
          <w:lang w:val="en-US"/>
        </w:rPr>
      </w:pPr>
    </w:p>
    <w:p w14:paraId="1ECE368C" w14:textId="158CF39B" w:rsidR="00086CE0" w:rsidRPr="000D781D" w:rsidRDefault="00086CE0" w:rsidP="0019519F">
      <w:pPr>
        <w:autoSpaceDE w:val="0"/>
        <w:autoSpaceDN w:val="0"/>
        <w:adjustRightInd w:val="0"/>
        <w:spacing w:before="0" w:beforeAutospacing="0" w:after="120" w:afterAutospacing="0"/>
        <w:jc w:val="left"/>
        <w:rPr>
          <w:lang w:val="en-US"/>
        </w:rPr>
      </w:pPr>
      <w:r w:rsidRPr="000D781D">
        <w:rPr>
          <w:lang w:val="en-US"/>
        </w:rPr>
        <w:t xml:space="preserve">16. Callahan-Lyon P. Electronic cigarettes: human health effects. </w:t>
      </w:r>
      <w:proofErr w:type="spellStart"/>
      <w:r w:rsidRPr="000D781D">
        <w:rPr>
          <w:lang w:val="en-US"/>
        </w:rPr>
        <w:t>Tob</w:t>
      </w:r>
      <w:proofErr w:type="spellEnd"/>
      <w:r w:rsidRPr="000D781D">
        <w:rPr>
          <w:lang w:val="en-US"/>
        </w:rPr>
        <w:t xml:space="preserve"> Control 2014</w:t>
      </w:r>
      <w:proofErr w:type="gramStart"/>
      <w:r w:rsidRPr="000D781D">
        <w:rPr>
          <w:lang w:val="en-US"/>
        </w:rPr>
        <w:t>;23:ii36</w:t>
      </w:r>
      <w:proofErr w:type="gramEnd"/>
      <w:r w:rsidRPr="000D781D">
        <w:rPr>
          <w:lang w:val="en-US"/>
        </w:rPr>
        <w:t>–ii40.</w:t>
      </w:r>
      <w:r w:rsidR="0019519F">
        <w:rPr>
          <w:lang w:val="en-US"/>
        </w:rPr>
        <w:t xml:space="preserve"> </w:t>
      </w:r>
      <w:proofErr w:type="gramStart"/>
      <w:r w:rsidRPr="000D781D">
        <w:rPr>
          <w:lang w:val="en-US"/>
        </w:rPr>
        <w:t>doi:</w:t>
      </w:r>
      <w:proofErr w:type="gramEnd"/>
      <w:r w:rsidRPr="000D781D">
        <w:rPr>
          <w:lang w:val="en-US"/>
        </w:rPr>
        <w:t>10.1136/tobaccocontrol-2013-051470:</w:t>
      </w:r>
      <w:r w:rsidR="0019519F">
        <w:rPr>
          <w:lang w:val="en-US"/>
        </w:rPr>
        <w:t xml:space="preserve"> </w:t>
      </w:r>
      <w:hyperlink r:id="rId23" w:history="1">
        <w:r w:rsidR="0019519F" w:rsidRPr="00C34ED2">
          <w:rPr>
            <w:rStyle w:val="Hyperlink"/>
            <w:lang w:val="en-US"/>
          </w:rPr>
          <w:t>https://tobaccocontrol.bmj.com/content/tobaccocontrol/23/suppl_2/ii36.full.pdf</w:t>
        </w:r>
      </w:hyperlink>
      <w:r w:rsidRPr="000D781D">
        <w:rPr>
          <w:lang w:val="en-US"/>
        </w:rPr>
        <w:t xml:space="preserve"> </w:t>
      </w:r>
    </w:p>
    <w:p w14:paraId="4F17782B" w14:textId="7FA13EF4" w:rsidR="00E739D9" w:rsidRPr="000D781D" w:rsidRDefault="00E739D9" w:rsidP="0019519F">
      <w:pPr>
        <w:autoSpaceDE w:val="0"/>
        <w:autoSpaceDN w:val="0"/>
        <w:adjustRightInd w:val="0"/>
        <w:spacing w:before="0" w:beforeAutospacing="0" w:after="120" w:afterAutospacing="0"/>
        <w:jc w:val="left"/>
      </w:pPr>
      <w:r w:rsidRPr="000D781D">
        <w:rPr>
          <w:lang w:val="en-US"/>
        </w:rPr>
        <w:t xml:space="preserve">17. Outbreak of Lung Injury Associated with the Use of E-Cigarette, or Vaping, Products </w:t>
      </w:r>
      <w:hyperlink r:id="rId24" w:history="1">
        <w:r w:rsidRPr="000D781D">
          <w:rPr>
            <w:rStyle w:val="Hyperlink"/>
          </w:rPr>
          <w:t>https://www.cdc.gov/tobacco/basic_information/e-cigarettes/severe-lung-disease.html</w:t>
        </w:r>
      </w:hyperlink>
    </w:p>
    <w:p w14:paraId="1D6567B7" w14:textId="207C1B29" w:rsidR="00086CE0" w:rsidRPr="000D781D" w:rsidRDefault="00E739D9" w:rsidP="0019519F">
      <w:pPr>
        <w:autoSpaceDE w:val="0"/>
        <w:autoSpaceDN w:val="0"/>
        <w:adjustRightInd w:val="0"/>
        <w:spacing w:before="0" w:beforeAutospacing="0" w:after="120" w:afterAutospacing="0"/>
        <w:jc w:val="left"/>
      </w:pPr>
      <w:r w:rsidRPr="000D781D">
        <w:t xml:space="preserve">18. </w:t>
      </w:r>
      <w:r w:rsidRPr="000D781D">
        <w:rPr>
          <w:lang w:val="en-US"/>
        </w:rPr>
        <w:t>International Consultation on Environmental Tobacco Smoke (FTS) and Child Health. WHO/NCD/TFI, 1999, Geneva:</w:t>
      </w:r>
      <w:r w:rsidRPr="000D781D">
        <w:t xml:space="preserve"> </w:t>
      </w:r>
      <w:hyperlink r:id="rId25" w:history="1">
        <w:r w:rsidR="004059FB" w:rsidRPr="000D781D">
          <w:rPr>
            <w:rStyle w:val="Hyperlink"/>
          </w:rPr>
          <w:t>http://apps.who.int/iris/bitstream/handle/10665/65930/WHO_NCD_TFI_99.10.pdf?sequence=1&amp;isAllowed=y</w:t>
        </w:r>
      </w:hyperlink>
      <w:r w:rsidRPr="000D781D">
        <w:t xml:space="preserve"> ;</w:t>
      </w:r>
    </w:p>
    <w:p w14:paraId="1FDA98AA" w14:textId="2E4FE047" w:rsidR="004708D8" w:rsidRPr="000D781D" w:rsidRDefault="004708D8" w:rsidP="0019519F">
      <w:pPr>
        <w:autoSpaceDE w:val="0"/>
        <w:autoSpaceDN w:val="0"/>
        <w:adjustRightInd w:val="0"/>
        <w:spacing w:before="0" w:beforeAutospacing="0" w:after="120" w:afterAutospacing="0"/>
        <w:jc w:val="left"/>
        <w:rPr>
          <w:lang w:val="fr-FR"/>
        </w:rPr>
      </w:pPr>
      <w:r w:rsidRPr="000D781D">
        <w:rPr>
          <w:lang w:val="fr-FR"/>
        </w:rPr>
        <w:t xml:space="preserve">19. </w:t>
      </w:r>
      <w:proofErr w:type="spellStart"/>
      <w:r w:rsidRPr="000D781D">
        <w:rPr>
          <w:lang w:val="fr-FR"/>
        </w:rPr>
        <w:t>Ghidul</w:t>
      </w:r>
      <w:proofErr w:type="spellEnd"/>
      <w:r w:rsidRPr="000D781D">
        <w:rPr>
          <w:lang w:val="fr-FR"/>
        </w:rPr>
        <w:t xml:space="preserve"> </w:t>
      </w:r>
      <w:proofErr w:type="spellStart"/>
      <w:r w:rsidRPr="000D781D">
        <w:rPr>
          <w:lang w:val="fr-FR"/>
        </w:rPr>
        <w:t>ensp</w:t>
      </w:r>
      <w:proofErr w:type="spellEnd"/>
      <w:r w:rsidRPr="000D781D">
        <w:rPr>
          <w:lang w:val="fr-FR"/>
        </w:rPr>
        <w:t xml:space="preserve"> </w:t>
      </w:r>
      <w:proofErr w:type="spellStart"/>
      <w:r w:rsidRPr="000D781D">
        <w:rPr>
          <w:lang w:val="fr-FR"/>
        </w:rPr>
        <w:t>pentru</w:t>
      </w:r>
      <w:proofErr w:type="spellEnd"/>
      <w:r w:rsidRPr="000D781D">
        <w:rPr>
          <w:lang w:val="fr-FR"/>
        </w:rPr>
        <w:t xml:space="preserve"> </w:t>
      </w:r>
      <w:proofErr w:type="spellStart"/>
      <w:r w:rsidRPr="000D781D">
        <w:rPr>
          <w:lang w:val="fr-FR"/>
        </w:rPr>
        <w:t>tratamentul</w:t>
      </w:r>
      <w:proofErr w:type="spellEnd"/>
      <w:r w:rsidRPr="000D781D">
        <w:rPr>
          <w:lang w:val="fr-FR"/>
        </w:rPr>
        <w:t xml:space="preserve"> </w:t>
      </w:r>
      <w:proofErr w:type="spellStart"/>
      <w:r w:rsidRPr="000D781D">
        <w:rPr>
          <w:lang w:val="fr-FR"/>
        </w:rPr>
        <w:t>dependentei</w:t>
      </w:r>
      <w:proofErr w:type="spellEnd"/>
      <w:r w:rsidRPr="000D781D">
        <w:rPr>
          <w:lang w:val="fr-FR"/>
        </w:rPr>
        <w:t xml:space="preserve"> de </w:t>
      </w:r>
      <w:proofErr w:type="spellStart"/>
      <w:r w:rsidRPr="000D781D">
        <w:rPr>
          <w:lang w:val="fr-FR"/>
        </w:rPr>
        <w:t>tutun</w:t>
      </w:r>
      <w:proofErr w:type="spellEnd"/>
      <w:r w:rsidRPr="000D781D">
        <w:rPr>
          <w:lang w:val="fr-FR"/>
        </w:rPr>
        <w:t xml:space="preserve">, </w:t>
      </w:r>
      <w:hyperlink r:id="rId26" w:history="1">
        <w:r w:rsidRPr="000D781D">
          <w:rPr>
            <w:rStyle w:val="Hyperlink"/>
            <w:lang w:val="fr-FR"/>
          </w:rPr>
          <w:t>http://elearning-ensp.eu/assets/Romanian%20version.pdf</w:t>
        </w:r>
      </w:hyperlink>
      <w:r w:rsidRPr="000D781D">
        <w:rPr>
          <w:lang w:val="fr-FR"/>
        </w:rPr>
        <w:t xml:space="preserve"> </w:t>
      </w:r>
    </w:p>
    <w:p w14:paraId="272ED9EA" w14:textId="1F1B353B" w:rsidR="008F2139" w:rsidRPr="000D781D" w:rsidRDefault="0039721C" w:rsidP="0019519F">
      <w:pPr>
        <w:spacing w:before="0" w:beforeAutospacing="0" w:after="120" w:afterAutospacing="0"/>
      </w:pPr>
      <w:r w:rsidRPr="000D781D">
        <w:t xml:space="preserve">20. WHO Framework Convention on Tobacco Control, WHO 2003, updated reprint 2004, 2005, Geneva, Switzerland. </w:t>
      </w:r>
      <w:r w:rsidR="009D476A">
        <w:rPr>
          <w:rStyle w:val="Hyperlink"/>
        </w:rPr>
        <w:fldChar w:fldCharType="begin"/>
      </w:r>
      <w:r w:rsidR="009D476A">
        <w:rPr>
          <w:rStyle w:val="Hyperlink"/>
        </w:rPr>
        <w:instrText xml:space="preserve"> HYPERLINK "https://apps.who.int/iris/bitstream/h</w:instrText>
      </w:r>
      <w:r w:rsidR="009D476A">
        <w:rPr>
          <w:rStyle w:val="Hyperlink"/>
        </w:rPr>
        <w:instrText xml:space="preserve">andle/10665/42811/9241591013.pdf;jsessionid=405065A929EC0905F8F2277C9C76C207?sequence=1" </w:instrText>
      </w:r>
      <w:r w:rsidR="009D476A">
        <w:rPr>
          <w:rStyle w:val="Hyperlink"/>
        </w:rPr>
        <w:fldChar w:fldCharType="separate"/>
      </w:r>
      <w:r w:rsidRPr="000D781D">
        <w:rPr>
          <w:rStyle w:val="Hyperlink"/>
        </w:rPr>
        <w:t>https://apps.who.int/iris/bitstream/handle/10665/42811/9241591013.pdf;jsessionid=405065A929EC0905F8F2277C9C76C207?sequence=1</w:t>
      </w:r>
      <w:r w:rsidR="009D476A">
        <w:rPr>
          <w:rStyle w:val="Hyperlink"/>
        </w:rPr>
        <w:fldChar w:fldCharType="end"/>
      </w:r>
    </w:p>
    <w:p w14:paraId="1F9038CF" w14:textId="2AFE705E" w:rsidR="0039721C" w:rsidRPr="000D781D" w:rsidRDefault="0039721C" w:rsidP="0019519F">
      <w:pPr>
        <w:pStyle w:val="MRefer"/>
        <w:spacing w:after="120" w:line="240" w:lineRule="auto"/>
        <w:ind w:left="0" w:firstLine="0"/>
        <w:rPr>
          <w:sz w:val="22"/>
          <w:szCs w:val="22"/>
          <w:lang w:eastAsia="en-US"/>
        </w:rPr>
      </w:pPr>
      <w:r w:rsidRPr="000D781D">
        <w:rPr>
          <w:sz w:val="22"/>
          <w:szCs w:val="22"/>
        </w:rPr>
        <w:t xml:space="preserve">21. Warren CW, Lea J, Lee V, et al. Evolution of the Global Tobacco Surveillance System (GTSS) 1998-2008. </w:t>
      </w:r>
      <w:r w:rsidRPr="000D781D">
        <w:rPr>
          <w:i/>
          <w:iCs/>
          <w:sz w:val="22"/>
          <w:szCs w:val="22"/>
        </w:rPr>
        <w:t>IUHPE – Global</w:t>
      </w:r>
      <w:r w:rsidRPr="000D781D">
        <w:rPr>
          <w:i/>
          <w:iCs/>
          <w:sz w:val="22"/>
          <w:szCs w:val="22"/>
          <w:lang w:eastAsia="en-US"/>
        </w:rPr>
        <w:t>Health Promotion Supplement</w:t>
      </w:r>
      <w:r w:rsidRPr="000D781D">
        <w:rPr>
          <w:sz w:val="22"/>
          <w:szCs w:val="22"/>
          <w:lang w:eastAsia="en-US"/>
        </w:rPr>
        <w:t>, 2009, (2): 4-37 72</w:t>
      </w:r>
    </w:p>
    <w:p w14:paraId="464A13A9" w14:textId="52E3C631" w:rsidR="00065B21" w:rsidRPr="000D781D" w:rsidRDefault="000D0FF4" w:rsidP="0019519F">
      <w:pPr>
        <w:pStyle w:val="MRefer"/>
        <w:spacing w:after="120" w:line="240" w:lineRule="auto"/>
        <w:ind w:left="0" w:firstLine="0"/>
        <w:rPr>
          <w:sz w:val="22"/>
          <w:szCs w:val="22"/>
          <w:lang w:eastAsia="en-US"/>
        </w:rPr>
      </w:pPr>
      <w:r w:rsidRPr="000D781D">
        <w:rPr>
          <w:sz w:val="22"/>
          <w:szCs w:val="22"/>
          <w:lang w:eastAsia="en-US"/>
        </w:rPr>
        <w:t>22</w:t>
      </w:r>
      <w:proofErr w:type="gramStart"/>
      <w:r w:rsidRPr="000D781D">
        <w:rPr>
          <w:sz w:val="22"/>
          <w:szCs w:val="22"/>
          <w:lang w:eastAsia="en-US"/>
        </w:rPr>
        <w:t>.</w:t>
      </w:r>
      <w:r w:rsidR="00065B21" w:rsidRPr="000D781D">
        <w:rPr>
          <w:sz w:val="22"/>
          <w:szCs w:val="22"/>
          <w:lang w:eastAsia="en-US"/>
        </w:rPr>
        <w:t>Site</w:t>
      </w:r>
      <w:proofErr w:type="gramEnd"/>
      <w:r w:rsidR="00065B21" w:rsidRPr="000D781D">
        <w:rPr>
          <w:sz w:val="22"/>
          <w:szCs w:val="22"/>
          <w:lang w:eastAsia="en-US"/>
        </w:rPr>
        <w:t>-ul S</w:t>
      </w:r>
      <w:r w:rsidR="0019519F">
        <w:rPr>
          <w:sz w:val="22"/>
          <w:szCs w:val="22"/>
          <w:lang w:eastAsia="en-US"/>
        </w:rPr>
        <w:t>top</w:t>
      </w:r>
      <w:r w:rsidR="00065B21" w:rsidRPr="000D781D">
        <w:rPr>
          <w:sz w:val="22"/>
          <w:szCs w:val="22"/>
          <w:lang w:eastAsia="en-US"/>
        </w:rPr>
        <w:t xml:space="preserve"> </w:t>
      </w:r>
      <w:proofErr w:type="spellStart"/>
      <w:r w:rsidR="00065B21" w:rsidRPr="000D781D">
        <w:rPr>
          <w:sz w:val="22"/>
          <w:szCs w:val="22"/>
          <w:lang w:eastAsia="en-US"/>
        </w:rPr>
        <w:t>F</w:t>
      </w:r>
      <w:r w:rsidR="0019519F">
        <w:rPr>
          <w:sz w:val="22"/>
          <w:szCs w:val="22"/>
          <w:lang w:eastAsia="en-US"/>
        </w:rPr>
        <w:t>umat</w:t>
      </w:r>
      <w:proofErr w:type="spellEnd"/>
      <w:r w:rsidR="00065B21" w:rsidRPr="000D781D">
        <w:rPr>
          <w:sz w:val="22"/>
          <w:szCs w:val="22"/>
          <w:lang w:eastAsia="en-US"/>
        </w:rPr>
        <w:t xml:space="preserve">, </w:t>
      </w:r>
      <w:r w:rsidRPr="000D781D">
        <w:rPr>
          <w:sz w:val="22"/>
          <w:szCs w:val="22"/>
          <w:lang w:eastAsia="en-US"/>
        </w:rPr>
        <w:t xml:space="preserve"> </w:t>
      </w:r>
      <w:hyperlink r:id="rId27" w:history="1">
        <w:r w:rsidR="00065B21" w:rsidRPr="000D781D">
          <w:rPr>
            <w:rStyle w:val="Hyperlink"/>
            <w:sz w:val="22"/>
            <w:szCs w:val="22"/>
            <w:lang w:eastAsia="en-US"/>
          </w:rPr>
          <w:t>https://stopfumat.eu/despre-programul-national-stop-fumat/</w:t>
        </w:r>
      </w:hyperlink>
      <w:r w:rsidR="00065B21" w:rsidRPr="000D781D">
        <w:rPr>
          <w:sz w:val="22"/>
          <w:szCs w:val="22"/>
          <w:lang w:eastAsia="en-US"/>
        </w:rPr>
        <w:t xml:space="preserve"> </w:t>
      </w:r>
    </w:p>
    <w:p w14:paraId="64F38A5A" w14:textId="17CCC8BF" w:rsidR="004059FB" w:rsidRPr="000D781D" w:rsidRDefault="00065B21" w:rsidP="0019519F">
      <w:pPr>
        <w:autoSpaceDE w:val="0"/>
        <w:autoSpaceDN w:val="0"/>
        <w:adjustRightInd w:val="0"/>
        <w:spacing w:before="0" w:beforeAutospacing="0" w:after="120" w:afterAutospacing="0"/>
        <w:jc w:val="left"/>
      </w:pPr>
      <w:r w:rsidRPr="000D781D">
        <w:t xml:space="preserve">23. </w:t>
      </w:r>
      <w:r w:rsidRPr="000D781D">
        <w:rPr>
          <w:color w:val="000000"/>
          <w:lang w:val="en-US"/>
        </w:rPr>
        <w:t>Site-ul European Network for Smoking and Tobacco Prevention-ENSP:</w:t>
      </w:r>
      <w:r w:rsidR="0019519F">
        <w:rPr>
          <w:color w:val="000000"/>
          <w:lang w:val="en-US"/>
        </w:rPr>
        <w:t xml:space="preserve"> </w:t>
      </w:r>
      <w:r w:rsidRPr="000D781D">
        <w:rPr>
          <w:color w:val="0000FF"/>
          <w:lang w:val="en-US"/>
        </w:rPr>
        <w:t>http://ensp.network/conclusions-of-a-quantitative-survey-of-the-public-opinion-on-tobacco-control-policies/</w:t>
      </w:r>
      <w:r w:rsidRPr="000D781D">
        <w:cr/>
      </w:r>
      <w:r w:rsidR="004059FB" w:rsidRPr="000D781D">
        <w:t>24. WHO technical manual on tobacco tax administration. Geneva: World Health Organization; 2010 (</w:t>
      </w:r>
      <w:hyperlink r:id="rId28" w:history="1">
        <w:r w:rsidR="0019519F" w:rsidRPr="00C34ED2">
          <w:rPr>
            <w:rStyle w:val="Hyperlink"/>
          </w:rPr>
          <w:t>https://www.who.int/tobacco/publications/tax_administration/en/</w:t>
        </w:r>
      </w:hyperlink>
      <w:r w:rsidR="0019519F">
        <w:t xml:space="preserve"> </w:t>
      </w:r>
      <w:r w:rsidR="004059FB" w:rsidRPr="000D781D">
        <w:t>).</w:t>
      </w:r>
    </w:p>
    <w:p w14:paraId="4B6A9E3E" w14:textId="77777777" w:rsidR="008F2139" w:rsidRPr="008775E1" w:rsidRDefault="008F2139" w:rsidP="008F2139"/>
    <w:sectPr w:rsidR="008F2139" w:rsidRPr="008775E1" w:rsidSect="003F4CAC">
      <w:headerReference w:type="default" r:id="rId29"/>
      <w:footerReference w:type="default" r:id="rId30"/>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9061B" w14:textId="77777777" w:rsidR="009D476A" w:rsidRDefault="009D476A" w:rsidP="008F2139">
      <w:r>
        <w:separator/>
      </w:r>
    </w:p>
  </w:endnote>
  <w:endnote w:type="continuationSeparator" w:id="0">
    <w:p w14:paraId="77C54962" w14:textId="77777777" w:rsidR="009D476A" w:rsidRDefault="009D476A" w:rsidP="008F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Times New Roman,BoldItalic">
    <w:altName w:val="Times New Roman"/>
    <w:panose1 w:val="00000000000000000000"/>
    <w:charset w:val="EE"/>
    <w:family w:val="auto"/>
    <w:notTrueType/>
    <w:pitch w:val="default"/>
    <w:sig w:usb0="00000005" w:usb1="00000000" w:usb2="00000000" w:usb3="00000000" w:csb0="00000002"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8218"/>
      <w:docPartObj>
        <w:docPartGallery w:val="Page Numbers (Bottom of Page)"/>
        <w:docPartUnique/>
      </w:docPartObj>
    </w:sdtPr>
    <w:sdtEndPr/>
    <w:sdtContent>
      <w:p w14:paraId="405A61BB" w14:textId="77777777" w:rsidR="00965EF9" w:rsidRDefault="00965EF9">
        <w:pPr>
          <w:pStyle w:val="Footer"/>
          <w:jc w:val="right"/>
        </w:pPr>
        <w:r>
          <w:fldChar w:fldCharType="begin"/>
        </w:r>
        <w:r>
          <w:instrText xml:space="preserve"> PAGE   \* MERGEFORMAT </w:instrText>
        </w:r>
        <w:r>
          <w:fldChar w:fldCharType="separate"/>
        </w:r>
        <w:r w:rsidR="003673E9">
          <w:rPr>
            <w:noProof/>
          </w:rPr>
          <w:t>4</w:t>
        </w:r>
        <w:r>
          <w:rPr>
            <w:noProof/>
          </w:rPr>
          <w:fldChar w:fldCharType="end"/>
        </w:r>
      </w:p>
    </w:sdtContent>
  </w:sdt>
  <w:p w14:paraId="666424B7" w14:textId="77777777" w:rsidR="00965EF9" w:rsidRDefault="00965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A0EA3" w14:textId="77777777" w:rsidR="009D476A" w:rsidRDefault="009D476A" w:rsidP="008F2139">
      <w:r>
        <w:separator/>
      </w:r>
    </w:p>
  </w:footnote>
  <w:footnote w:type="continuationSeparator" w:id="0">
    <w:p w14:paraId="1A70BBFC" w14:textId="77777777" w:rsidR="009D476A" w:rsidRDefault="009D476A" w:rsidP="008F2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CA78" w14:textId="44B7A50D" w:rsidR="00965EF9" w:rsidRPr="00D001A4" w:rsidRDefault="007506E3" w:rsidP="00D001A4">
    <w:pPr>
      <w:rPr>
        <w:rFonts w:ascii="Arial Narrow" w:eastAsia="Calibri" w:hAnsi="Arial Narrow"/>
        <w:color w:val="1F497D"/>
        <w:sz w:val="14"/>
      </w:rPr>
    </w:pPr>
    <w:r>
      <w:rPr>
        <w:rFonts w:cstheme="minorBidi"/>
        <w:noProof/>
        <w:lang w:val="en-US"/>
      </w:rPr>
      <mc:AlternateContent>
        <mc:Choice Requires="wps">
          <w:drawing>
            <wp:anchor distT="0" distB="0" distL="114300" distR="114300" simplePos="0" relativeHeight="251658240" behindDoc="0" locked="0" layoutInCell="1" allowOverlap="1" wp14:anchorId="6967B0F5" wp14:editId="60555556">
              <wp:simplePos x="0" y="0"/>
              <wp:positionH relativeFrom="column">
                <wp:posOffset>5086350</wp:posOffset>
              </wp:positionH>
              <wp:positionV relativeFrom="paragraph">
                <wp:posOffset>104775</wp:posOffset>
              </wp:positionV>
              <wp:extent cx="1471295" cy="729615"/>
              <wp:effectExtent l="0" t="0" r="0" b="381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047F4" w14:textId="0DA2EFEF" w:rsidR="00965EF9" w:rsidRPr="00D001A4" w:rsidRDefault="00965EF9" w:rsidP="008F2139">
                          <w:r>
                            <w:t>DSPJ</w:t>
                          </w:r>
                          <w:r w:rsidR="00D8510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7B0F5" id="_x0000_t202" coordsize="21600,21600" o:spt="202" path="m,l,21600r21600,l21600,xe">
              <v:stroke joinstyle="miter"/>
              <v:path gradientshapeok="t" o:connecttype="rect"/>
            </v:shapetype>
            <v:shape id="Text Box 1" o:spid="_x0000_s1026" type="#_x0000_t202" style="position:absolute;left:0;text-align:left;margin-left:400.5pt;margin-top:8.25pt;width:115.85pt;height:5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" stroked="f">
              <v:textbox>
                <w:txbxContent>
                  <w:p w14:paraId="347047F4" w14:textId="0DA2EFEF" w:rsidR="00965EF9" w:rsidRPr="00D001A4" w:rsidRDefault="00965EF9" w:rsidP="008F2139">
                    <w:r>
                      <w:t>DSPJ</w:t>
                    </w:r>
                    <w:r w:rsidR="00D85100">
                      <w:t xml:space="preserve"> </w:t>
                    </w:r>
                  </w:p>
                </w:txbxContent>
              </v:textbox>
            </v:shape>
          </w:pict>
        </mc:Fallback>
      </mc:AlternateContent>
    </w:r>
    <w:r w:rsidR="00965EF9" w:rsidRPr="00C15709">
      <w:rPr>
        <w:noProof/>
        <w:lang w:val="en-US"/>
      </w:rPr>
      <w:drawing>
        <wp:inline distT="0" distB="0" distL="0" distR="0" wp14:anchorId="49FCA376" wp14:editId="7C17B464">
          <wp:extent cx="5200650" cy="822029"/>
          <wp:effectExtent l="0" t="0" r="0" b="0"/>
          <wp:docPr id="3" name="Picture 1" descr="D:\Descarcari Internet\si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carcari Internet\sigle.png"/>
                  <pic:cNvPicPr>
                    <a:picLocks noChangeAspect="1" noChangeArrowheads="1"/>
                  </pic:cNvPicPr>
                </pic:nvPicPr>
                <pic:blipFill>
                  <a:blip r:embed="rId1" cstate="print"/>
                  <a:srcRect/>
                  <a:stretch>
                    <a:fillRect/>
                  </a:stretch>
                </pic:blipFill>
                <pic:spPr bwMode="auto">
                  <a:xfrm>
                    <a:off x="0" y="0"/>
                    <a:ext cx="5228935" cy="826500"/>
                  </a:xfrm>
                  <a:prstGeom prst="rect">
                    <a:avLst/>
                  </a:prstGeom>
                  <a:noFill/>
                  <a:ln w="9525">
                    <a:noFill/>
                    <a:miter lim="800000"/>
                    <a:headEnd/>
                    <a:tailEnd/>
                  </a:ln>
                </pic:spPr>
              </pic:pic>
            </a:graphicData>
          </a:graphic>
        </wp:inline>
      </w:drawing>
    </w:r>
    <w:r w:rsidR="00965EF9">
      <w:rPr>
        <w:rFonts w:ascii="Arial Narrow" w:eastAsia="Calibri" w:hAnsi="Arial Narrow"/>
        <w:color w:val="1F497D"/>
        <w:sz w:val="1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E11A6"/>
    <w:multiLevelType w:val="hybridMultilevel"/>
    <w:tmpl w:val="6A5A6CA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42BD0F98"/>
    <w:multiLevelType w:val="hybridMultilevel"/>
    <w:tmpl w:val="D2824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E7361D1"/>
    <w:multiLevelType w:val="hybridMultilevel"/>
    <w:tmpl w:val="CC0A51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674F8F"/>
    <w:multiLevelType w:val="hybridMultilevel"/>
    <w:tmpl w:val="D38E88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AA11D6"/>
    <w:multiLevelType w:val="hybridMultilevel"/>
    <w:tmpl w:val="378C47B0"/>
    <w:lvl w:ilvl="0" w:tplc="6E4020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B121E"/>
    <w:multiLevelType w:val="hybridMultilevel"/>
    <w:tmpl w:val="9ACAB2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DA"/>
    <w:rsid w:val="0001321B"/>
    <w:rsid w:val="0002133E"/>
    <w:rsid w:val="00051544"/>
    <w:rsid w:val="00065B21"/>
    <w:rsid w:val="00073854"/>
    <w:rsid w:val="00086CE0"/>
    <w:rsid w:val="000D0FF4"/>
    <w:rsid w:val="000D26A3"/>
    <w:rsid w:val="000D781D"/>
    <w:rsid w:val="00102712"/>
    <w:rsid w:val="0019519F"/>
    <w:rsid w:val="001A436F"/>
    <w:rsid w:val="002139A3"/>
    <w:rsid w:val="00282C70"/>
    <w:rsid w:val="002A025C"/>
    <w:rsid w:val="002A6F6E"/>
    <w:rsid w:val="00356933"/>
    <w:rsid w:val="003673E9"/>
    <w:rsid w:val="00384E64"/>
    <w:rsid w:val="003854F1"/>
    <w:rsid w:val="0039721C"/>
    <w:rsid w:val="003B0984"/>
    <w:rsid w:val="003B5482"/>
    <w:rsid w:val="003C2D5C"/>
    <w:rsid w:val="003C4579"/>
    <w:rsid w:val="003D4E0D"/>
    <w:rsid w:val="003F4CAC"/>
    <w:rsid w:val="00401172"/>
    <w:rsid w:val="004035FD"/>
    <w:rsid w:val="00404EF8"/>
    <w:rsid w:val="004059FB"/>
    <w:rsid w:val="004159D1"/>
    <w:rsid w:val="00440A8D"/>
    <w:rsid w:val="00454E4C"/>
    <w:rsid w:val="004563DA"/>
    <w:rsid w:val="0047001F"/>
    <w:rsid w:val="004708D8"/>
    <w:rsid w:val="004D1649"/>
    <w:rsid w:val="004F549F"/>
    <w:rsid w:val="005107A0"/>
    <w:rsid w:val="0053384A"/>
    <w:rsid w:val="005371DB"/>
    <w:rsid w:val="005E67D2"/>
    <w:rsid w:val="005F2901"/>
    <w:rsid w:val="00605781"/>
    <w:rsid w:val="00606586"/>
    <w:rsid w:val="00625A95"/>
    <w:rsid w:val="00693B1F"/>
    <w:rsid w:val="006A02D3"/>
    <w:rsid w:val="006A4661"/>
    <w:rsid w:val="006A4A6A"/>
    <w:rsid w:val="006F575F"/>
    <w:rsid w:val="00722C7B"/>
    <w:rsid w:val="007448F7"/>
    <w:rsid w:val="0074784F"/>
    <w:rsid w:val="007506E3"/>
    <w:rsid w:val="007C12C0"/>
    <w:rsid w:val="007F5A7D"/>
    <w:rsid w:val="00830526"/>
    <w:rsid w:val="0086028D"/>
    <w:rsid w:val="008775E1"/>
    <w:rsid w:val="008B116E"/>
    <w:rsid w:val="008F2139"/>
    <w:rsid w:val="008F3493"/>
    <w:rsid w:val="009162C8"/>
    <w:rsid w:val="00931DD5"/>
    <w:rsid w:val="00947580"/>
    <w:rsid w:val="009566D1"/>
    <w:rsid w:val="00965EF9"/>
    <w:rsid w:val="00975D5F"/>
    <w:rsid w:val="00986E29"/>
    <w:rsid w:val="009C6B69"/>
    <w:rsid w:val="009D3D3A"/>
    <w:rsid w:val="009D476A"/>
    <w:rsid w:val="009E6F76"/>
    <w:rsid w:val="00A12B01"/>
    <w:rsid w:val="00A1605C"/>
    <w:rsid w:val="00A27DBA"/>
    <w:rsid w:val="00A35385"/>
    <w:rsid w:val="00A409E9"/>
    <w:rsid w:val="00A6688C"/>
    <w:rsid w:val="00A702D4"/>
    <w:rsid w:val="00A7443C"/>
    <w:rsid w:val="00AA53A7"/>
    <w:rsid w:val="00AA5DEA"/>
    <w:rsid w:val="00AB7DDC"/>
    <w:rsid w:val="00AC62CE"/>
    <w:rsid w:val="00AD096F"/>
    <w:rsid w:val="00B0212E"/>
    <w:rsid w:val="00B03734"/>
    <w:rsid w:val="00B262B0"/>
    <w:rsid w:val="00B34210"/>
    <w:rsid w:val="00B406D1"/>
    <w:rsid w:val="00BC5CE3"/>
    <w:rsid w:val="00BE6B6E"/>
    <w:rsid w:val="00C042E1"/>
    <w:rsid w:val="00C04F39"/>
    <w:rsid w:val="00C06A83"/>
    <w:rsid w:val="00C11EF1"/>
    <w:rsid w:val="00C15709"/>
    <w:rsid w:val="00C55B81"/>
    <w:rsid w:val="00C65D85"/>
    <w:rsid w:val="00C73EED"/>
    <w:rsid w:val="00CA1CF9"/>
    <w:rsid w:val="00CA1EEE"/>
    <w:rsid w:val="00CA35B6"/>
    <w:rsid w:val="00CB41BD"/>
    <w:rsid w:val="00CC0C9E"/>
    <w:rsid w:val="00CC2223"/>
    <w:rsid w:val="00CE00AA"/>
    <w:rsid w:val="00D001A4"/>
    <w:rsid w:val="00D33F94"/>
    <w:rsid w:val="00D370A8"/>
    <w:rsid w:val="00D63A23"/>
    <w:rsid w:val="00D71D5D"/>
    <w:rsid w:val="00D85100"/>
    <w:rsid w:val="00DC0AF1"/>
    <w:rsid w:val="00DD7960"/>
    <w:rsid w:val="00DE5D50"/>
    <w:rsid w:val="00E02317"/>
    <w:rsid w:val="00E05C02"/>
    <w:rsid w:val="00E52198"/>
    <w:rsid w:val="00E57EC9"/>
    <w:rsid w:val="00E739D9"/>
    <w:rsid w:val="00ED2DD9"/>
    <w:rsid w:val="00ED575F"/>
    <w:rsid w:val="00EE6B36"/>
    <w:rsid w:val="00F13911"/>
    <w:rsid w:val="00F453FC"/>
    <w:rsid w:val="00F9404D"/>
    <w:rsid w:val="00FC437B"/>
    <w:rsid w:val="00FD795B"/>
    <w:rsid w:val="00FF4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234E7"/>
  <w15:docId w15:val="{5A9A10FE-CC8A-42F4-ACF3-A50B7CF5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DBA"/>
    <w:rPr>
      <w:rFonts w:ascii="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3DA"/>
    <w:pPr>
      <w:jc w:val="left"/>
    </w:pPr>
    <w:rPr>
      <w:rFonts w:eastAsia="Times New Roman"/>
      <w:sz w:val="24"/>
      <w:szCs w:val="24"/>
    </w:rPr>
  </w:style>
  <w:style w:type="paragraph" w:styleId="ListParagraph">
    <w:name w:val="List Paragraph"/>
    <w:basedOn w:val="Normal"/>
    <w:link w:val="ListParagraphChar"/>
    <w:qFormat/>
    <w:rsid w:val="00947580"/>
    <w:pPr>
      <w:spacing w:before="0" w:beforeAutospacing="0" w:after="200" w:afterAutospacing="0" w:line="276" w:lineRule="auto"/>
      <w:ind w:left="720"/>
      <w:contextualSpacing/>
      <w:jc w:val="left"/>
    </w:pPr>
    <w:rPr>
      <w:rFonts w:ascii="Calibri" w:eastAsia="Calibri" w:hAnsi="Calibri"/>
    </w:rPr>
  </w:style>
  <w:style w:type="paragraph" w:styleId="BalloonText">
    <w:name w:val="Balloon Text"/>
    <w:basedOn w:val="Normal"/>
    <w:link w:val="BalloonTextChar"/>
    <w:uiPriority w:val="99"/>
    <w:semiHidden/>
    <w:unhideWhenUsed/>
    <w:rsid w:val="00D33F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F94"/>
    <w:rPr>
      <w:rFonts w:ascii="Tahoma" w:hAnsi="Tahoma" w:cs="Tahoma"/>
      <w:sz w:val="16"/>
      <w:szCs w:val="16"/>
    </w:rPr>
  </w:style>
  <w:style w:type="paragraph" w:styleId="Header">
    <w:name w:val="header"/>
    <w:basedOn w:val="Normal"/>
    <w:link w:val="HeaderChar"/>
    <w:uiPriority w:val="99"/>
    <w:unhideWhenUsed/>
    <w:rsid w:val="00C15709"/>
    <w:pPr>
      <w:tabs>
        <w:tab w:val="center" w:pos="4680"/>
        <w:tab w:val="right" w:pos="9360"/>
      </w:tabs>
      <w:spacing w:before="0" w:after="0"/>
    </w:pPr>
  </w:style>
  <w:style w:type="character" w:customStyle="1" w:styleId="HeaderChar">
    <w:name w:val="Header Char"/>
    <w:basedOn w:val="DefaultParagraphFont"/>
    <w:link w:val="Header"/>
    <w:uiPriority w:val="99"/>
    <w:rsid w:val="00C15709"/>
  </w:style>
  <w:style w:type="paragraph" w:styleId="Footer">
    <w:name w:val="footer"/>
    <w:basedOn w:val="Normal"/>
    <w:link w:val="FooterChar"/>
    <w:uiPriority w:val="99"/>
    <w:unhideWhenUsed/>
    <w:rsid w:val="00C15709"/>
    <w:pPr>
      <w:tabs>
        <w:tab w:val="center" w:pos="4680"/>
        <w:tab w:val="right" w:pos="9360"/>
      </w:tabs>
      <w:spacing w:before="0" w:after="0"/>
    </w:pPr>
  </w:style>
  <w:style w:type="character" w:customStyle="1" w:styleId="FooterChar">
    <w:name w:val="Footer Char"/>
    <w:basedOn w:val="DefaultParagraphFont"/>
    <w:link w:val="Footer"/>
    <w:uiPriority w:val="99"/>
    <w:rsid w:val="00C15709"/>
  </w:style>
  <w:style w:type="paragraph" w:customStyle="1" w:styleId="Default">
    <w:name w:val="Default"/>
    <w:link w:val="DefaultChar"/>
    <w:rsid w:val="008F2139"/>
    <w:pPr>
      <w:autoSpaceDE w:val="0"/>
      <w:autoSpaceDN w:val="0"/>
      <w:adjustRightInd w:val="0"/>
      <w:spacing w:before="0" w:beforeAutospacing="0" w:after="0" w:afterAutospacing="0"/>
      <w:jc w:val="left"/>
    </w:pPr>
    <w:rPr>
      <w:rFonts w:ascii="Cambria" w:hAnsi="Cambria" w:cs="Cambria"/>
      <w:color w:val="000000"/>
      <w:sz w:val="24"/>
      <w:szCs w:val="24"/>
    </w:rPr>
  </w:style>
  <w:style w:type="character" w:styleId="Hyperlink">
    <w:name w:val="Hyperlink"/>
    <w:basedOn w:val="DefaultParagraphFont"/>
    <w:uiPriority w:val="99"/>
    <w:unhideWhenUsed/>
    <w:rsid w:val="00AA53A7"/>
    <w:rPr>
      <w:color w:val="0000FF" w:themeColor="hyperlink"/>
      <w:u w:val="single"/>
    </w:rPr>
  </w:style>
  <w:style w:type="table" w:customStyle="1" w:styleId="LightShading-Accent11">
    <w:name w:val="Light Shading - Accent 11"/>
    <w:basedOn w:val="TableNormal"/>
    <w:uiPriority w:val="60"/>
    <w:rsid w:val="00D370A8"/>
    <w:pPr>
      <w:spacing w:before="0" w:beforeAutospacing="0" w:after="0" w:afterAutospacing="0"/>
      <w:jc w:val="center"/>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D370A8"/>
    <w:pPr>
      <w:spacing w:before="0" w:after="200"/>
    </w:pPr>
    <w:rPr>
      <w:b/>
      <w:bCs/>
      <w:color w:val="4F81BD" w:themeColor="accent1"/>
      <w:sz w:val="18"/>
      <w:szCs w:val="18"/>
    </w:rPr>
  </w:style>
  <w:style w:type="character" w:customStyle="1" w:styleId="UnresolvedMention">
    <w:name w:val="Unresolved Mention"/>
    <w:basedOn w:val="DefaultParagraphFont"/>
    <w:uiPriority w:val="99"/>
    <w:semiHidden/>
    <w:unhideWhenUsed/>
    <w:rsid w:val="007C12C0"/>
    <w:rPr>
      <w:color w:val="605E5C"/>
      <w:shd w:val="clear" w:color="auto" w:fill="E1DFDD"/>
    </w:rPr>
  </w:style>
  <w:style w:type="character" w:styleId="FollowedHyperlink">
    <w:name w:val="FollowedHyperlink"/>
    <w:basedOn w:val="DefaultParagraphFont"/>
    <w:uiPriority w:val="99"/>
    <w:semiHidden/>
    <w:unhideWhenUsed/>
    <w:rsid w:val="007C12C0"/>
    <w:rPr>
      <w:color w:val="800080" w:themeColor="followedHyperlink"/>
      <w:u w:val="single"/>
    </w:rPr>
  </w:style>
  <w:style w:type="table" w:styleId="GridTable4-Accent1">
    <w:name w:val="Grid Table 4 Accent 1"/>
    <w:basedOn w:val="TableNormal"/>
    <w:uiPriority w:val="49"/>
    <w:rsid w:val="00404EF8"/>
    <w:pPr>
      <w:spacing w:before="0" w:beforeAutospacing="0" w:after="0" w:afterAutospacing="0"/>
      <w:jc w:val="left"/>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DefaultChar">
    <w:name w:val="Default Char"/>
    <w:link w:val="Default"/>
    <w:rsid w:val="00B03734"/>
    <w:rPr>
      <w:rFonts w:ascii="Cambria" w:hAnsi="Cambria" w:cs="Cambria"/>
      <w:color w:val="000000"/>
      <w:sz w:val="24"/>
      <w:szCs w:val="24"/>
    </w:rPr>
  </w:style>
  <w:style w:type="paragraph" w:customStyle="1" w:styleId="T-Body">
    <w:name w:val="T-Body"/>
    <w:basedOn w:val="Normal"/>
    <w:link w:val="T-BodyChar"/>
    <w:qFormat/>
    <w:rsid w:val="00965EF9"/>
    <w:pPr>
      <w:spacing w:before="200" w:beforeAutospacing="0" w:after="200" w:afterAutospacing="0" w:line="280" w:lineRule="atLeast"/>
    </w:pPr>
    <w:rPr>
      <w:rFonts w:ascii="Calibri" w:eastAsia="Times New Roman" w:hAnsi="Calibri" w:cs="Calibri"/>
      <w:lang w:val="en-US"/>
    </w:rPr>
  </w:style>
  <w:style w:type="character" w:customStyle="1" w:styleId="T-BodyChar">
    <w:name w:val="T-Body Char"/>
    <w:basedOn w:val="DefaultParagraphFont"/>
    <w:link w:val="T-Body"/>
    <w:rsid w:val="00965EF9"/>
    <w:rPr>
      <w:rFonts w:ascii="Calibri" w:eastAsia="Times New Roman" w:hAnsi="Calibri" w:cs="Calibri"/>
    </w:rPr>
  </w:style>
  <w:style w:type="paragraph" w:customStyle="1" w:styleId="MRefer">
    <w:name w:val="M_Refer"/>
    <w:basedOn w:val="Normal"/>
    <w:rsid w:val="0039721C"/>
    <w:pPr>
      <w:spacing w:before="0" w:beforeAutospacing="0" w:after="0" w:afterAutospacing="0" w:line="340" w:lineRule="atLeast"/>
      <w:ind w:left="454" w:hanging="454"/>
    </w:pPr>
    <w:rPr>
      <w:rFonts w:eastAsia="Times New Roman"/>
      <w:color w:val="000000"/>
      <w:sz w:val="24"/>
      <w:szCs w:val="20"/>
      <w:lang w:val="en-US" w:eastAsia="de-DE"/>
    </w:rPr>
  </w:style>
  <w:style w:type="character" w:styleId="EndnoteReference">
    <w:name w:val="endnote reference"/>
    <w:basedOn w:val="DefaultParagraphFont"/>
    <w:semiHidden/>
    <w:unhideWhenUsed/>
    <w:rsid w:val="0039721C"/>
    <w:rPr>
      <w:vertAlign w:val="superscript"/>
    </w:rPr>
  </w:style>
  <w:style w:type="character" w:customStyle="1" w:styleId="ListParagraphChar">
    <w:name w:val="List Paragraph Char"/>
    <w:link w:val="ListParagraph"/>
    <w:rsid w:val="004059FB"/>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67820">
      <w:bodyDiv w:val="1"/>
      <w:marLeft w:val="0"/>
      <w:marRight w:val="0"/>
      <w:marTop w:val="0"/>
      <w:marBottom w:val="0"/>
      <w:divBdr>
        <w:top w:val="none" w:sz="0" w:space="0" w:color="auto"/>
        <w:left w:val="none" w:sz="0" w:space="0" w:color="auto"/>
        <w:bottom w:val="none" w:sz="0" w:space="0" w:color="auto"/>
        <w:right w:val="none" w:sz="0" w:space="0" w:color="auto"/>
      </w:divBdr>
    </w:div>
    <w:div w:id="1558122457">
      <w:bodyDiv w:val="1"/>
      <w:marLeft w:val="0"/>
      <w:marRight w:val="0"/>
      <w:marTop w:val="0"/>
      <w:marBottom w:val="0"/>
      <w:divBdr>
        <w:top w:val="none" w:sz="0" w:space="0" w:color="auto"/>
        <w:left w:val="none" w:sz="0" w:space="0" w:color="auto"/>
        <w:bottom w:val="none" w:sz="0" w:space="0" w:color="auto"/>
        <w:right w:val="none" w:sz="0" w:space="0" w:color="auto"/>
      </w:divBdr>
    </w:div>
    <w:div w:id="1772163763">
      <w:bodyDiv w:val="1"/>
      <w:marLeft w:val="0"/>
      <w:marRight w:val="0"/>
      <w:marTop w:val="0"/>
      <w:marBottom w:val="0"/>
      <w:divBdr>
        <w:top w:val="none" w:sz="0" w:space="0" w:color="auto"/>
        <w:left w:val="none" w:sz="0" w:space="0" w:color="auto"/>
        <w:bottom w:val="none" w:sz="0" w:space="0" w:color="auto"/>
        <w:right w:val="none" w:sz="0" w:space="0" w:color="auto"/>
      </w:divBdr>
    </w:div>
    <w:div w:id="19535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7.emf"/><Relationship Id="rId26" Type="http://schemas.openxmlformats.org/officeDocument/2006/relationships/hyperlink" Target="http://elearning-ensp.eu/assets/Romanian%20version.pdf" TargetMode="External"/><Relationship Id="rId3" Type="http://schemas.openxmlformats.org/officeDocument/2006/relationships/styles" Target="styles.xml"/><Relationship Id="rId21" Type="http://schemas.openxmlformats.org/officeDocument/2006/relationships/hyperlink" Target="https://nccd.cdc.gov/GTSSDataSurveyResources/Ancillary/DataReports.aspx?CAID=1"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5" Type="http://schemas.openxmlformats.org/officeDocument/2006/relationships/hyperlink" Target="http://apps.who.int/iris/bitstream/handle/10665/65930/WHO_NCD_TFI_99.10.pdf?sequence=1&amp;isAllowed=y"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insp.gov.ro/sites/cnepss/wp-content/uploads/2018/11/SSPR-2017.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www.cdc.gov/tobacco/basic_information/e-cigarettes/severe-lung-diseas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tobaccocontrol.bmj.com/content/tobaccocontrol/23/suppl_2/ii36.full.pdf" TargetMode="External"/><Relationship Id="rId28" Type="http://schemas.openxmlformats.org/officeDocument/2006/relationships/hyperlink" Target="https://www.who.int/tobacco/publications/tax_administration/en/" TargetMode="External"/><Relationship Id="rId10" Type="http://schemas.openxmlformats.org/officeDocument/2006/relationships/chart" Target="charts/chart2.xml"/><Relationship Id="rId19" Type="http://schemas.openxmlformats.org/officeDocument/2006/relationships/hyperlink" Target="http://data.europa.eu/euodp/en/data/dataset/S2146_87_1_458_E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hyperlink" Target="https://www.ncbi.nlm.nih.gov/pubmed/27102185" TargetMode="External"/><Relationship Id="rId27" Type="http://schemas.openxmlformats.org/officeDocument/2006/relationships/hyperlink" Target="https://stopfumat.eu/despre-programul-national-stop-fuma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oleObject" Target="file:///C:\Users\Dell\Desktop\HBSC%202014\HBCS%202015%20Raport%20LOT%20COMPLET\Capitole%20Raport%20HBSC%202015\Partiale\HBSC-trend%20pe%20consumul%20curent%20de%20tutun.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o!$B$115</c:f>
              <c:strCache>
                <c:ptCount val="1"/>
                <c:pt idx="0">
                  <c:v>Total</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5"/>
              <c:layout>
                <c:manualLayout>
                  <c:x val="-2.350427350427366E-2"/>
                  <c:y val="-1.6412821439166329E-1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29F-4C02-8C94-53EAD194AE6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o!$A$116:$A$121</c:f>
              <c:strCache>
                <c:ptCount val="6"/>
                <c:pt idx="0">
                  <c:v>Terapie de substituție nicotinică</c:v>
                </c:pt>
                <c:pt idx="1">
                  <c:v>Madicamente pe bază de prescripție</c:v>
                </c:pt>
                <c:pt idx="2">
                  <c:v>Consiliere</c:v>
                </c:pt>
                <c:pt idx="3">
                  <c:v>Țigări electronice</c:v>
                </c:pt>
                <c:pt idx="4">
                  <c:v>Produse cu tutun încălzit</c:v>
                </c:pt>
                <c:pt idx="5">
                  <c:v>Fără ajutor</c:v>
                </c:pt>
              </c:strCache>
            </c:strRef>
          </c:cat>
          <c:val>
            <c:numRef>
              <c:f>o!$B$116:$B$121</c:f>
              <c:numCache>
                <c:formatCode>0%</c:formatCode>
                <c:ptCount val="6"/>
                <c:pt idx="0" formatCode="0.00%">
                  <c:v>6.8000000000000005E-2</c:v>
                </c:pt>
                <c:pt idx="1">
                  <c:v>0.05</c:v>
                </c:pt>
                <c:pt idx="2">
                  <c:v>0.03</c:v>
                </c:pt>
                <c:pt idx="3" formatCode="0.00%">
                  <c:v>0.151</c:v>
                </c:pt>
                <c:pt idx="4" formatCode="0.00%">
                  <c:v>0.104</c:v>
                </c:pt>
                <c:pt idx="5" formatCode="0.00%">
                  <c:v>0.65900000000000003</c:v>
                </c:pt>
              </c:numCache>
            </c:numRef>
          </c:val>
          <c:extLst xmlns:c16r2="http://schemas.microsoft.com/office/drawing/2015/06/chart">
            <c:ext xmlns:c16="http://schemas.microsoft.com/office/drawing/2014/chart" uri="{C3380CC4-5D6E-409C-BE32-E72D297353CC}">
              <c16:uniqueId val="{00000000-629F-4C02-8C94-53EAD194AE65}"/>
            </c:ext>
          </c:extLst>
        </c:ser>
        <c:ser>
          <c:idx val="1"/>
          <c:order val="1"/>
          <c:tx>
            <c:strRef>
              <c:f>o!$C$115</c:f>
              <c:strCache>
                <c:ptCount val="1"/>
                <c:pt idx="0">
                  <c:v>Bărbați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4"/>
              <c:layout>
                <c:manualLayout>
                  <c:x val="-6.41025641025641E-3"/>
                  <c:y val="-5.37153088630259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29F-4C02-8C94-53EAD194AE6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o!$A$116:$A$121</c:f>
              <c:strCache>
                <c:ptCount val="6"/>
                <c:pt idx="0">
                  <c:v>Terapie de substituție nicotinică</c:v>
                </c:pt>
                <c:pt idx="1">
                  <c:v>Madicamente pe bază de prescripție</c:v>
                </c:pt>
                <c:pt idx="2">
                  <c:v>Consiliere</c:v>
                </c:pt>
                <c:pt idx="3">
                  <c:v>Țigări electronice</c:v>
                </c:pt>
                <c:pt idx="4">
                  <c:v>Produse cu tutun încălzit</c:v>
                </c:pt>
                <c:pt idx="5">
                  <c:v>Fără ajutor</c:v>
                </c:pt>
              </c:strCache>
            </c:strRef>
          </c:cat>
          <c:val>
            <c:numRef>
              <c:f>o!$C$116:$C$121</c:f>
              <c:numCache>
                <c:formatCode>0.00%</c:formatCode>
                <c:ptCount val="6"/>
                <c:pt idx="0">
                  <c:v>9.0999999999999998E-2</c:v>
                </c:pt>
                <c:pt idx="1">
                  <c:v>7.0999999999999994E-2</c:v>
                </c:pt>
                <c:pt idx="2">
                  <c:v>4.3999999999999997E-2</c:v>
                </c:pt>
                <c:pt idx="3">
                  <c:v>0.17699999999999999</c:v>
                </c:pt>
                <c:pt idx="4">
                  <c:v>0.114</c:v>
                </c:pt>
                <c:pt idx="5">
                  <c:v>0.64400000000000002</c:v>
                </c:pt>
              </c:numCache>
            </c:numRef>
          </c:val>
          <c:extLst xmlns:c16r2="http://schemas.microsoft.com/office/drawing/2015/06/chart">
            <c:ext xmlns:c16="http://schemas.microsoft.com/office/drawing/2014/chart" uri="{C3380CC4-5D6E-409C-BE32-E72D297353CC}">
              <c16:uniqueId val="{00000001-629F-4C02-8C94-53EAD194AE65}"/>
            </c:ext>
          </c:extLst>
        </c:ser>
        <c:ser>
          <c:idx val="2"/>
          <c:order val="2"/>
          <c:tx>
            <c:strRef>
              <c:f>o!$D$115</c:f>
              <c:strCache>
                <c:ptCount val="1"/>
                <c:pt idx="0">
                  <c:v>Femei</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3"/>
              <c:layout>
                <c:manualLayout>
                  <c:x val="4.273504273504195E-3"/>
                  <c:y val="-0.1074306177260519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29F-4C02-8C94-53EAD194AE6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o!$A$116:$A$121</c:f>
              <c:strCache>
                <c:ptCount val="6"/>
                <c:pt idx="0">
                  <c:v>Terapie de substituție nicotinică</c:v>
                </c:pt>
                <c:pt idx="1">
                  <c:v>Madicamente pe bază de prescripție</c:v>
                </c:pt>
                <c:pt idx="2">
                  <c:v>Consiliere</c:v>
                </c:pt>
                <c:pt idx="3">
                  <c:v>Țigări electronice</c:v>
                </c:pt>
                <c:pt idx="4">
                  <c:v>Produse cu tutun încălzit</c:v>
                </c:pt>
                <c:pt idx="5">
                  <c:v>Fără ajutor</c:v>
                </c:pt>
              </c:strCache>
            </c:strRef>
          </c:cat>
          <c:val>
            <c:numRef>
              <c:f>o!$D$116:$D$121</c:f>
              <c:numCache>
                <c:formatCode>0.00%</c:formatCode>
                <c:ptCount val="6"/>
                <c:pt idx="0">
                  <c:v>2.5999999999999999E-2</c:v>
                </c:pt>
                <c:pt idx="1">
                  <c:v>1.0999999999999999E-2</c:v>
                </c:pt>
                <c:pt idx="2">
                  <c:v>4.0000000000000001E-3</c:v>
                </c:pt>
                <c:pt idx="3">
                  <c:v>0.10199999999999999</c:v>
                </c:pt>
                <c:pt idx="4">
                  <c:v>8.5999999999999993E-2</c:v>
                </c:pt>
                <c:pt idx="5">
                  <c:v>0.68600000000000005</c:v>
                </c:pt>
              </c:numCache>
            </c:numRef>
          </c:val>
          <c:extLst xmlns:c16r2="http://schemas.microsoft.com/office/drawing/2015/06/chart">
            <c:ext xmlns:c16="http://schemas.microsoft.com/office/drawing/2014/chart" uri="{C3380CC4-5D6E-409C-BE32-E72D297353CC}">
              <c16:uniqueId val="{00000002-629F-4C02-8C94-53EAD194AE65}"/>
            </c:ext>
          </c:extLst>
        </c:ser>
        <c:dLbls>
          <c:showLegendKey val="0"/>
          <c:showVal val="0"/>
          <c:showCatName val="0"/>
          <c:showSerName val="0"/>
          <c:showPercent val="0"/>
          <c:showBubbleSize val="0"/>
        </c:dLbls>
        <c:gapWidth val="100"/>
        <c:overlap val="-24"/>
        <c:axId val="-1490031968"/>
        <c:axId val="-1490031424"/>
      </c:barChart>
      <c:catAx>
        <c:axId val="-14900319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0031424"/>
        <c:crosses val="autoZero"/>
        <c:auto val="1"/>
        <c:lblAlgn val="ctr"/>
        <c:lblOffset val="100"/>
        <c:noMultiLvlLbl val="0"/>
      </c:catAx>
      <c:valAx>
        <c:axId val="-14900314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0031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b="1"/>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sz="1100">
                <a:latin typeface="Times New Roman" panose="02020603050405020304" pitchFamily="18" charset="0"/>
                <a:cs typeface="Times New Roman" panose="02020603050405020304" pitchFamily="18" charset="0"/>
              </a:rPr>
              <a:t>La locul de muncă</a:t>
            </a:r>
            <a:endParaRPr lang="en-US"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o!$A$67</c:f>
              <c:strCache>
                <c:ptCount val="1"/>
                <c:pt idx="0">
                  <c:v>La fum de tutun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o!$B$66:$G$66</c:f>
              <c:strCache>
                <c:ptCount val="6"/>
                <c:pt idx="0">
                  <c:v>Total</c:v>
                </c:pt>
                <c:pt idx="1">
                  <c:v>Nefumători</c:v>
                </c:pt>
                <c:pt idx="2">
                  <c:v>Bărbați</c:v>
                </c:pt>
                <c:pt idx="3">
                  <c:v>Nefumători</c:v>
                </c:pt>
                <c:pt idx="4">
                  <c:v>Femei</c:v>
                </c:pt>
                <c:pt idx="5">
                  <c:v>Nefumătoare</c:v>
                </c:pt>
              </c:strCache>
            </c:strRef>
          </c:cat>
          <c:val>
            <c:numRef>
              <c:f>o!$B$67:$G$67</c:f>
              <c:numCache>
                <c:formatCode>0%</c:formatCode>
                <c:ptCount val="6"/>
                <c:pt idx="0" formatCode="0.00%">
                  <c:v>0.10100000000000001</c:v>
                </c:pt>
                <c:pt idx="1">
                  <c:v>0.1</c:v>
                </c:pt>
                <c:pt idx="2" formatCode="0.00%">
                  <c:v>0.115</c:v>
                </c:pt>
                <c:pt idx="3" formatCode="0.00%">
                  <c:v>0.111</c:v>
                </c:pt>
                <c:pt idx="4" formatCode="0.00%">
                  <c:v>8.5999999999999993E-2</c:v>
                </c:pt>
                <c:pt idx="5" formatCode="0.00%">
                  <c:v>9.0999999999999998E-2</c:v>
                </c:pt>
              </c:numCache>
            </c:numRef>
          </c:val>
          <c:extLst xmlns:c16r2="http://schemas.microsoft.com/office/drawing/2015/06/chart">
            <c:ext xmlns:c16="http://schemas.microsoft.com/office/drawing/2014/chart" uri="{C3380CC4-5D6E-409C-BE32-E72D297353CC}">
              <c16:uniqueId val="{00000000-9FF7-4834-83FA-BA1AF463A76E}"/>
            </c:ext>
          </c:extLst>
        </c:ser>
        <c:ser>
          <c:idx val="1"/>
          <c:order val="1"/>
          <c:tx>
            <c:strRef>
              <c:f>o!$A$68</c:f>
              <c:strCache>
                <c:ptCount val="1"/>
                <c:pt idx="0">
                  <c:v>La vapori de țigară electronică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o!$B$66:$G$66</c:f>
              <c:strCache>
                <c:ptCount val="6"/>
                <c:pt idx="0">
                  <c:v>Total</c:v>
                </c:pt>
                <c:pt idx="1">
                  <c:v>Nefumători</c:v>
                </c:pt>
                <c:pt idx="2">
                  <c:v>Bărbați</c:v>
                </c:pt>
                <c:pt idx="3">
                  <c:v>Nefumători</c:v>
                </c:pt>
                <c:pt idx="4">
                  <c:v>Femei</c:v>
                </c:pt>
                <c:pt idx="5">
                  <c:v>Nefumătoare</c:v>
                </c:pt>
              </c:strCache>
            </c:strRef>
          </c:cat>
          <c:val>
            <c:numRef>
              <c:f>o!$B$68:$G$68</c:f>
              <c:numCache>
                <c:formatCode>0.00%</c:formatCode>
                <c:ptCount val="6"/>
                <c:pt idx="0">
                  <c:v>0.11899999999999999</c:v>
                </c:pt>
                <c:pt idx="1">
                  <c:v>0.108</c:v>
                </c:pt>
                <c:pt idx="2">
                  <c:v>0.126</c:v>
                </c:pt>
                <c:pt idx="3">
                  <c:v>0.11799999999999999</c:v>
                </c:pt>
                <c:pt idx="4">
                  <c:v>0.112</c:v>
                </c:pt>
                <c:pt idx="5" formatCode="0%">
                  <c:v>0.1</c:v>
                </c:pt>
              </c:numCache>
            </c:numRef>
          </c:val>
          <c:extLst xmlns:c16r2="http://schemas.microsoft.com/office/drawing/2015/06/chart">
            <c:ext xmlns:c16="http://schemas.microsoft.com/office/drawing/2014/chart" uri="{C3380CC4-5D6E-409C-BE32-E72D297353CC}">
              <c16:uniqueId val="{00000001-9FF7-4834-83FA-BA1AF463A76E}"/>
            </c:ext>
          </c:extLst>
        </c:ser>
        <c:ser>
          <c:idx val="2"/>
          <c:order val="2"/>
          <c:tx>
            <c:strRef>
              <c:f>o!$A$69</c:f>
              <c:strCache>
                <c:ptCount val="1"/>
                <c:pt idx="0">
                  <c:v>La emisii de țigără încălzită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o!$B$66:$G$66</c:f>
              <c:strCache>
                <c:ptCount val="6"/>
                <c:pt idx="0">
                  <c:v>Total</c:v>
                </c:pt>
                <c:pt idx="1">
                  <c:v>Nefumători</c:v>
                </c:pt>
                <c:pt idx="2">
                  <c:v>Bărbați</c:v>
                </c:pt>
                <c:pt idx="3">
                  <c:v>Nefumători</c:v>
                </c:pt>
                <c:pt idx="4">
                  <c:v>Femei</c:v>
                </c:pt>
                <c:pt idx="5">
                  <c:v>Nefumătoare</c:v>
                </c:pt>
              </c:strCache>
            </c:strRef>
          </c:cat>
          <c:val>
            <c:numRef>
              <c:f>o!$B$69:$G$69</c:f>
              <c:numCache>
                <c:formatCode>0.00%</c:formatCode>
                <c:ptCount val="6"/>
                <c:pt idx="0">
                  <c:v>6.9000000000000006E-2</c:v>
                </c:pt>
                <c:pt idx="1">
                  <c:v>5.0999999999999997E-2</c:v>
                </c:pt>
                <c:pt idx="2" formatCode="0%">
                  <c:v>0.08</c:v>
                </c:pt>
                <c:pt idx="3">
                  <c:v>6.2E-2</c:v>
                </c:pt>
                <c:pt idx="4">
                  <c:v>5.8000000000000003E-2</c:v>
                </c:pt>
                <c:pt idx="5">
                  <c:v>4.2999999999999997E-2</c:v>
                </c:pt>
              </c:numCache>
            </c:numRef>
          </c:val>
          <c:extLst xmlns:c16r2="http://schemas.microsoft.com/office/drawing/2015/06/chart">
            <c:ext xmlns:c16="http://schemas.microsoft.com/office/drawing/2014/chart" uri="{C3380CC4-5D6E-409C-BE32-E72D297353CC}">
              <c16:uniqueId val="{00000002-9FF7-4834-83FA-BA1AF463A76E}"/>
            </c:ext>
          </c:extLst>
        </c:ser>
        <c:dLbls>
          <c:showLegendKey val="0"/>
          <c:showVal val="0"/>
          <c:showCatName val="0"/>
          <c:showSerName val="0"/>
          <c:showPercent val="0"/>
          <c:showBubbleSize val="0"/>
        </c:dLbls>
        <c:gapWidth val="100"/>
        <c:overlap val="-24"/>
        <c:axId val="-1490030880"/>
        <c:axId val="-1376509920"/>
      </c:barChart>
      <c:catAx>
        <c:axId val="-1490030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6509920"/>
        <c:crosses val="autoZero"/>
        <c:auto val="1"/>
        <c:lblAlgn val="ctr"/>
        <c:lblOffset val="100"/>
        <c:noMultiLvlLbl val="0"/>
      </c:catAx>
      <c:valAx>
        <c:axId val="-13765099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003088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200" b="1"/>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o!$B$86</c:f>
              <c:strCache>
                <c:ptCount val="1"/>
                <c:pt idx="0">
                  <c:v>Fum de tutun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o!$A$87:$A$93</c:f>
              <c:strCache>
                <c:ptCount val="7"/>
                <c:pt idx="0">
                  <c:v>Clădiri oficiale</c:v>
                </c:pt>
                <c:pt idx="1">
                  <c:v>Unități medicale</c:v>
                </c:pt>
                <c:pt idx="2">
                  <c:v>Restaurante</c:v>
                </c:pt>
                <c:pt idx="3">
                  <c:v>Baruri/Cafenele/Cluburi</c:v>
                </c:pt>
                <c:pt idx="4">
                  <c:v>Universități</c:v>
                </c:pt>
                <c:pt idx="5">
                  <c:v>Școli</c:v>
                </c:pt>
                <c:pt idx="6">
                  <c:v>Transport în comun</c:v>
                </c:pt>
              </c:strCache>
            </c:strRef>
          </c:cat>
          <c:val>
            <c:numRef>
              <c:f>o!$B$87:$B$93</c:f>
              <c:numCache>
                <c:formatCode>0.00%</c:formatCode>
                <c:ptCount val="7"/>
                <c:pt idx="0">
                  <c:v>6.4000000000000001E-2</c:v>
                </c:pt>
                <c:pt idx="1">
                  <c:v>9.5000000000000001E-2</c:v>
                </c:pt>
                <c:pt idx="2">
                  <c:v>7.4999999999999997E-2</c:v>
                </c:pt>
                <c:pt idx="3">
                  <c:v>0.27500000000000002</c:v>
                </c:pt>
                <c:pt idx="4">
                  <c:v>0.28699999999999998</c:v>
                </c:pt>
                <c:pt idx="5">
                  <c:v>0.129</c:v>
                </c:pt>
                <c:pt idx="6">
                  <c:v>4.2000000000000003E-2</c:v>
                </c:pt>
              </c:numCache>
            </c:numRef>
          </c:val>
          <c:extLst xmlns:c16r2="http://schemas.microsoft.com/office/drawing/2015/06/chart">
            <c:ext xmlns:c16="http://schemas.microsoft.com/office/drawing/2014/chart" uri="{C3380CC4-5D6E-409C-BE32-E72D297353CC}">
              <c16:uniqueId val="{00000000-7692-41AB-AB74-CCBD141B2A2B}"/>
            </c:ext>
          </c:extLst>
        </c:ser>
        <c:ser>
          <c:idx val="1"/>
          <c:order val="1"/>
          <c:tx>
            <c:strRef>
              <c:f>o!$C$86</c:f>
              <c:strCache>
                <c:ptCount val="1"/>
                <c:pt idx="0">
                  <c:v>Vapori de țigară electronică</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o!$A$87:$A$93</c:f>
              <c:strCache>
                <c:ptCount val="7"/>
                <c:pt idx="0">
                  <c:v>Clădiri oficiale</c:v>
                </c:pt>
                <c:pt idx="1">
                  <c:v>Unități medicale</c:v>
                </c:pt>
                <c:pt idx="2">
                  <c:v>Restaurante</c:v>
                </c:pt>
                <c:pt idx="3">
                  <c:v>Baruri/Cafenele/Cluburi</c:v>
                </c:pt>
                <c:pt idx="4">
                  <c:v>Universități</c:v>
                </c:pt>
                <c:pt idx="5">
                  <c:v>Școli</c:v>
                </c:pt>
                <c:pt idx="6">
                  <c:v>Transport în comun</c:v>
                </c:pt>
              </c:strCache>
            </c:strRef>
          </c:cat>
          <c:val>
            <c:numRef>
              <c:f>o!$C$87:$C$93</c:f>
              <c:numCache>
                <c:formatCode>0.00%</c:formatCode>
                <c:ptCount val="7"/>
                <c:pt idx="0">
                  <c:v>3.5999999999999997E-2</c:v>
                </c:pt>
                <c:pt idx="1">
                  <c:v>2.4E-2</c:v>
                </c:pt>
                <c:pt idx="2">
                  <c:v>0.155</c:v>
                </c:pt>
                <c:pt idx="3">
                  <c:v>0.13700000000000001</c:v>
                </c:pt>
                <c:pt idx="4">
                  <c:v>5.5E-2</c:v>
                </c:pt>
                <c:pt idx="5">
                  <c:v>3.5000000000000003E-2</c:v>
                </c:pt>
                <c:pt idx="6">
                  <c:v>2.4E-2</c:v>
                </c:pt>
              </c:numCache>
            </c:numRef>
          </c:val>
          <c:extLst xmlns:c16r2="http://schemas.microsoft.com/office/drawing/2015/06/chart">
            <c:ext xmlns:c16="http://schemas.microsoft.com/office/drawing/2014/chart" uri="{C3380CC4-5D6E-409C-BE32-E72D297353CC}">
              <c16:uniqueId val="{00000001-7692-41AB-AB74-CCBD141B2A2B}"/>
            </c:ext>
          </c:extLst>
        </c:ser>
        <c:ser>
          <c:idx val="2"/>
          <c:order val="2"/>
          <c:tx>
            <c:strRef>
              <c:f>o!$D$86</c:f>
              <c:strCache>
                <c:ptCount val="1"/>
                <c:pt idx="0">
                  <c:v>Emisii de țigară încălzită</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o!$A$87:$A$93</c:f>
              <c:strCache>
                <c:ptCount val="7"/>
                <c:pt idx="0">
                  <c:v>Clădiri oficiale</c:v>
                </c:pt>
                <c:pt idx="1">
                  <c:v>Unități medicale</c:v>
                </c:pt>
                <c:pt idx="2">
                  <c:v>Restaurante</c:v>
                </c:pt>
                <c:pt idx="3">
                  <c:v>Baruri/Cafenele/Cluburi</c:v>
                </c:pt>
                <c:pt idx="4">
                  <c:v>Universități</c:v>
                </c:pt>
                <c:pt idx="5">
                  <c:v>Școli</c:v>
                </c:pt>
                <c:pt idx="6">
                  <c:v>Transport în comun</c:v>
                </c:pt>
              </c:strCache>
            </c:strRef>
          </c:cat>
          <c:val>
            <c:numRef>
              <c:f>o!$D$87:$D$93</c:f>
              <c:numCache>
                <c:formatCode>0%</c:formatCode>
                <c:ptCount val="7"/>
                <c:pt idx="0">
                  <c:v>0.01</c:v>
                </c:pt>
                <c:pt idx="1">
                  <c:v>0.01</c:v>
                </c:pt>
                <c:pt idx="2" formatCode="0.00%">
                  <c:v>9.2999999999999999E-2</c:v>
                </c:pt>
                <c:pt idx="3" formatCode="0.00%">
                  <c:v>6.2E-2</c:v>
                </c:pt>
                <c:pt idx="4" formatCode="0.00%">
                  <c:v>1.4999999999999999E-2</c:v>
                </c:pt>
                <c:pt idx="5" formatCode="0.00%">
                  <c:v>1.0999999999999999E-2</c:v>
                </c:pt>
                <c:pt idx="6" formatCode="0.00%">
                  <c:v>6.0000000000000001E-3</c:v>
                </c:pt>
              </c:numCache>
            </c:numRef>
          </c:val>
          <c:extLst xmlns:c16r2="http://schemas.microsoft.com/office/drawing/2015/06/chart">
            <c:ext xmlns:c16="http://schemas.microsoft.com/office/drawing/2014/chart" uri="{C3380CC4-5D6E-409C-BE32-E72D297353CC}">
              <c16:uniqueId val="{00000002-7692-41AB-AB74-CCBD141B2A2B}"/>
            </c:ext>
          </c:extLst>
        </c:ser>
        <c:dLbls>
          <c:showLegendKey val="0"/>
          <c:showVal val="0"/>
          <c:showCatName val="0"/>
          <c:showSerName val="0"/>
          <c:showPercent val="0"/>
          <c:showBubbleSize val="0"/>
        </c:dLbls>
        <c:gapWidth val="115"/>
        <c:overlap val="-20"/>
        <c:axId val="-1376514816"/>
        <c:axId val="-1376510464"/>
      </c:barChart>
      <c:catAx>
        <c:axId val="-137651481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6510464"/>
        <c:crosses val="autoZero"/>
        <c:auto val="1"/>
        <c:lblAlgn val="ctr"/>
        <c:lblOffset val="100"/>
        <c:noMultiLvlLbl val="0"/>
      </c:catAx>
      <c:valAx>
        <c:axId val="-137651046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7651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1400" b="1"/>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anchor="t" anchorCtr="0"/>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0" i="0" baseline="0">
                <a:effectLst/>
              </a:rPr>
              <a:t>Procentul </a:t>
            </a:r>
            <a:r>
              <a:rPr lang="ro-RO" sz="1050" b="0" i="0" baseline="0">
                <a:effectLst/>
              </a:rPr>
              <a:t>elevilor care </a:t>
            </a:r>
            <a:r>
              <a:rPr lang="en-US" sz="1050" b="0" i="0" baseline="0">
                <a:effectLst/>
              </a:rPr>
              <a:t>actual </a:t>
            </a:r>
            <a:r>
              <a:rPr lang="ro-RO" sz="1050" b="0" i="0" baseline="0">
                <a:effectLst/>
              </a:rPr>
              <a:t>fumează </a:t>
            </a:r>
            <a:r>
              <a:rPr lang="ro-RO" sz="1050" b="1" i="0" baseline="0">
                <a:effectLst/>
              </a:rPr>
              <a:t>săptămânal </a:t>
            </a:r>
            <a:r>
              <a:rPr lang="ro-RO" sz="1050" b="0" i="0" baseline="0">
                <a:effectLst/>
              </a:rPr>
              <a:t>2006</a:t>
            </a:r>
          </a:p>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o-RO" sz="1050" b="0" i="0" baseline="0">
                <a:effectLst/>
              </a:rPr>
              <a:t> </a:t>
            </a:r>
            <a:r>
              <a:rPr lang="en-US" sz="1050" b="0" i="0" baseline="0">
                <a:effectLst/>
              </a:rPr>
              <a:t>-</a:t>
            </a:r>
            <a:r>
              <a:rPr lang="ro-RO" sz="1050" b="0" i="0" baseline="0">
                <a:effectLst/>
              </a:rPr>
              <a:t>2014</a:t>
            </a:r>
            <a:endParaRPr lang="en-US" sz="1050">
              <a:effectLst/>
            </a:endParaRPr>
          </a:p>
        </c:rich>
      </c:tx>
      <c:layout>
        <c:manualLayout>
          <c:xMode val="edge"/>
          <c:yMode val="edge"/>
          <c:x val="0.13027677082622821"/>
          <c:y val="2.2731077534227557E-2"/>
        </c:manualLayout>
      </c:layout>
      <c:overlay val="0"/>
      <c:spPr>
        <a:ln w="38100"/>
        <a:effectLst>
          <a:glow rad="1905000">
            <a:schemeClr val="accent1">
              <a:alpha val="40000"/>
            </a:schemeClr>
          </a:glow>
          <a:softEdge rad="1270000"/>
        </a:effectLst>
      </c:spPr>
    </c:title>
    <c:autoTitleDeleted val="0"/>
    <c:plotArea>
      <c:layout/>
      <c:lineChart>
        <c:grouping val="standard"/>
        <c:varyColors val="0"/>
        <c:ser>
          <c:idx val="0"/>
          <c:order val="0"/>
          <c:tx>
            <c:strRef>
              <c:f>TREDN!$L$11</c:f>
              <c:strCache>
                <c:ptCount val="1"/>
                <c:pt idx="0">
                  <c:v>Băieți</c:v>
                </c:pt>
              </c:strCache>
            </c:strRef>
          </c:tx>
          <c:marker>
            <c:symbol val="none"/>
          </c:marker>
          <c:dLbls>
            <c:dLbl>
              <c:idx val="0"/>
              <c:layout>
                <c:manualLayout>
                  <c:x val="-9.9152174645530694E-2"/>
                  <c:y val="-4.03258967629044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6FF1-4626-8B74-8906FDAB3915}"/>
                </c:ext>
                <c:ext xmlns:c15="http://schemas.microsoft.com/office/drawing/2012/chart" uri="{CE6537A1-D6FC-4f65-9D91-7224C49458BB}"/>
              </c:extLst>
            </c:dLbl>
            <c:dLbl>
              <c:idx val="1"/>
              <c:layout>
                <c:manualLayout>
                  <c:x val="-4.6966722248749107E-2"/>
                  <c:y val="-4.19347581552305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FF1-4626-8B74-8906FDAB3915}"/>
                </c:ext>
                <c:ext xmlns:c15="http://schemas.microsoft.com/office/drawing/2012/chart" uri="{CE6537A1-D6FC-4f65-9D91-7224C49458BB}"/>
              </c:extLst>
            </c:dLbl>
            <c:dLbl>
              <c:idx val="2"/>
              <c:layout>
                <c:manualLayout>
                  <c:x val="-5.2187301480335424E-3"/>
                  <c:y val="-4.064773153355832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FF1-4626-8B74-8906FDAB3915}"/>
                </c:ex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TREDN!$K$12:$K$14</c:f>
              <c:numCache>
                <c:formatCode>General</c:formatCode>
                <c:ptCount val="3"/>
                <c:pt idx="0">
                  <c:v>2006</c:v>
                </c:pt>
                <c:pt idx="1">
                  <c:v>2010</c:v>
                </c:pt>
                <c:pt idx="2">
                  <c:v>2014</c:v>
                </c:pt>
              </c:numCache>
            </c:numRef>
          </c:cat>
          <c:val>
            <c:numRef>
              <c:f>TREDN!$L$12:$L$14</c:f>
              <c:numCache>
                <c:formatCode>0.0%</c:formatCode>
                <c:ptCount val="3"/>
                <c:pt idx="0">
                  <c:v>7.9266227657573629E-2</c:v>
                </c:pt>
                <c:pt idx="1">
                  <c:v>0.14423497267759591</c:v>
                </c:pt>
                <c:pt idx="2">
                  <c:v>0.10797815425769069</c:v>
                </c:pt>
              </c:numCache>
            </c:numRef>
          </c:val>
          <c:smooth val="0"/>
          <c:extLst xmlns:c16r2="http://schemas.microsoft.com/office/drawing/2015/06/chart">
            <c:ext xmlns:c16="http://schemas.microsoft.com/office/drawing/2014/chart" uri="{C3380CC4-5D6E-409C-BE32-E72D297353CC}">
              <c16:uniqueId val="{00000003-6FF1-4626-8B74-8906FDAB3915}"/>
            </c:ext>
          </c:extLst>
        </c:ser>
        <c:ser>
          <c:idx val="1"/>
          <c:order val="1"/>
          <c:tx>
            <c:strRef>
              <c:f>TREDN!$M$11</c:f>
              <c:strCache>
                <c:ptCount val="1"/>
                <c:pt idx="0">
                  <c:v>Fete</c:v>
                </c:pt>
              </c:strCache>
            </c:strRef>
          </c:tx>
          <c:marker>
            <c:symbol val="none"/>
          </c:marker>
          <c:dLbls>
            <c:dLbl>
              <c:idx val="0"/>
              <c:layout>
                <c:manualLayout>
                  <c:x val="-9.6542912298377997E-2"/>
                  <c:y val="3.818116485439313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FF1-4626-8B74-8906FDAB3915}"/>
                </c:ext>
                <c:ext xmlns:c15="http://schemas.microsoft.com/office/drawing/2012/chart" uri="{CE6537A1-D6FC-4f65-9D91-7224C49458BB}"/>
              </c:extLst>
            </c:dLbl>
            <c:dLbl>
              <c:idx val="1"/>
              <c:layout>
                <c:manualLayout>
                  <c:x val="-7.5668608067428311E-2"/>
                  <c:y val="3.324709411323584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6FF1-4626-8B74-8906FDAB3915}"/>
                </c:ext>
                <c:ext xmlns:c15="http://schemas.microsoft.com/office/drawing/2012/chart" uri="{CE6537A1-D6FC-4f65-9D91-7224C49458BB}"/>
              </c:extLst>
            </c:dLbl>
            <c:dLbl>
              <c:idx val="2"/>
              <c:layout>
                <c:manualLayout>
                  <c:x val="-2.6094678008808212E-3"/>
                  <c:y val="4.611611048618923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6FF1-4626-8B74-8906FDAB3915}"/>
                </c:ext>
                <c:ext xmlns:c15="http://schemas.microsoft.com/office/drawing/2012/chart" uri="{CE6537A1-D6FC-4f65-9D91-7224C49458BB}"/>
              </c:extLst>
            </c:dLbl>
            <c:spPr>
              <a:noFill/>
              <a:ln>
                <a:noFill/>
              </a:ln>
              <a:effectLst/>
            </c:spPr>
            <c:txPr>
              <a:bodyPr/>
              <a:lstStyle/>
              <a:p>
                <a:pPr>
                  <a:defRPr b="1">
                    <a:latin typeface="Times New Roman" panose="02020603050405020304" pitchFamily="18" charset="0"/>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TREDN!$K$12:$K$14</c:f>
              <c:numCache>
                <c:formatCode>General</c:formatCode>
                <c:ptCount val="3"/>
                <c:pt idx="0">
                  <c:v>2006</c:v>
                </c:pt>
                <c:pt idx="1">
                  <c:v>2010</c:v>
                </c:pt>
                <c:pt idx="2">
                  <c:v>2014</c:v>
                </c:pt>
              </c:numCache>
            </c:numRef>
          </c:cat>
          <c:val>
            <c:numRef>
              <c:f>TREDN!$M$12:$M$14</c:f>
              <c:numCache>
                <c:formatCode>0.0%</c:formatCode>
                <c:ptCount val="3"/>
                <c:pt idx="0">
                  <c:v>5.1704814522494077E-2</c:v>
                </c:pt>
                <c:pt idx="1">
                  <c:v>8.3121257485030006E-2</c:v>
                </c:pt>
                <c:pt idx="2">
                  <c:v>8.8591406566681685E-2</c:v>
                </c:pt>
              </c:numCache>
            </c:numRef>
          </c:val>
          <c:smooth val="0"/>
          <c:extLst xmlns:c16r2="http://schemas.microsoft.com/office/drawing/2015/06/chart">
            <c:ext xmlns:c16="http://schemas.microsoft.com/office/drawing/2014/chart" uri="{C3380CC4-5D6E-409C-BE32-E72D297353CC}">
              <c16:uniqueId val="{00000007-6FF1-4626-8B74-8906FDAB3915}"/>
            </c:ext>
          </c:extLst>
        </c:ser>
        <c:dLbls>
          <c:showLegendKey val="0"/>
          <c:showVal val="0"/>
          <c:showCatName val="0"/>
          <c:showSerName val="0"/>
          <c:showPercent val="0"/>
          <c:showBubbleSize val="0"/>
        </c:dLbls>
        <c:smooth val="0"/>
        <c:axId val="-1376513184"/>
        <c:axId val="-1376512640"/>
      </c:lineChart>
      <c:catAx>
        <c:axId val="-1376513184"/>
        <c:scaling>
          <c:orientation val="minMax"/>
        </c:scaling>
        <c:delete val="0"/>
        <c:axPos val="b"/>
        <c:title>
          <c:tx>
            <c:rich>
              <a:bodyPr/>
              <a:lstStyle/>
              <a:p>
                <a:pPr>
                  <a:defRPr b="0" i="1">
                    <a:latin typeface="Times New Roman" panose="02020603050405020304" pitchFamily="18" charset="0"/>
                    <a:cs typeface="Times New Roman" panose="02020603050405020304" pitchFamily="18" charset="0"/>
                  </a:defRPr>
                </a:pPr>
                <a:r>
                  <a:rPr lang="ro-RO" b="0" i="1">
                    <a:latin typeface="Times New Roman" panose="02020603050405020304" pitchFamily="18" charset="0"/>
                    <a:cs typeface="Times New Roman" panose="02020603050405020304" pitchFamily="18" charset="0"/>
                  </a:rPr>
                  <a:t>Sursa: cercetare</a:t>
                </a:r>
                <a:r>
                  <a:rPr lang="ro-RO" b="0" i="1" baseline="0">
                    <a:latin typeface="Times New Roman" panose="02020603050405020304" pitchFamily="18" charset="0"/>
                    <a:cs typeface="Times New Roman" panose="02020603050405020304" pitchFamily="18" charset="0"/>
                  </a:rPr>
                  <a:t> HBSC 2006, 2010 și 2014</a:t>
                </a:r>
                <a:endParaRPr lang="en-US" b="0" i="1">
                  <a:latin typeface="Times New Roman" panose="02020603050405020304" pitchFamily="18" charset="0"/>
                  <a:cs typeface="Times New Roman" panose="02020603050405020304" pitchFamily="18" charset="0"/>
                </a:endParaRPr>
              </a:p>
            </c:rich>
          </c:tx>
          <c:layout>
            <c:manualLayout>
              <c:xMode val="edge"/>
              <c:yMode val="edge"/>
              <c:x val="4.9432166986216304E-3"/>
              <c:y val="0.92667666541682292"/>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376512640"/>
        <c:crosses val="autoZero"/>
        <c:auto val="1"/>
        <c:lblAlgn val="ctr"/>
        <c:lblOffset val="100"/>
        <c:noMultiLvlLbl val="0"/>
      </c:catAx>
      <c:valAx>
        <c:axId val="-1376512640"/>
        <c:scaling>
          <c:orientation val="minMax"/>
          <c:max val="0.5"/>
        </c:scaling>
        <c:delete val="0"/>
        <c:axPos val="l"/>
        <c:majorGridlines/>
        <c:numFmt formatCode="0.0%" sourceLinked="1"/>
        <c:majorTickMark val="out"/>
        <c:minorTickMark val="none"/>
        <c:tickLblPos val="nextTo"/>
        <c:txPr>
          <a:bodyPr/>
          <a:lstStyle/>
          <a:p>
            <a:pPr>
              <a:defRPr sz="1000">
                <a:latin typeface="Times New Roman" panose="02020603050405020304" pitchFamily="18" charset="0"/>
                <a:cs typeface="Times New Roman" panose="02020603050405020304" pitchFamily="18" charset="0"/>
              </a:defRPr>
            </a:pPr>
            <a:endParaRPr lang="en-US"/>
          </a:p>
        </c:txPr>
        <c:crossAx val="-1376513184"/>
        <c:crosses val="autoZero"/>
        <c:crossBetween val="between"/>
        <c:majorUnit val="0.1"/>
      </c:valAx>
    </c:plotArea>
    <c:legend>
      <c:legendPos val="r"/>
      <c:overlay val="0"/>
      <c:txPr>
        <a:bodyPr/>
        <a:lstStyle/>
        <a:p>
          <a:pPr>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spPr>
    <a:solidFill>
      <a:schemeClr val="lt1"/>
    </a:solidFill>
    <a:effectLst/>
  </c:spPr>
  <c:txPr>
    <a:bodyPr/>
    <a:lstStyle/>
    <a:p>
      <a:pPr>
        <a:defRPr>
          <a:solidFill>
            <a:schemeClr val="dk1"/>
          </a:solidFill>
          <a:latin typeface="+mn-lt"/>
          <a:ea typeface="+mn-ea"/>
          <a:cs typeface="+mn-cs"/>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2B0C8-55D7-4B95-914B-AB64DBE6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7540</Words>
  <Characters>42980</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LENOVO</cp:lastModifiedBy>
  <cp:revision>6</cp:revision>
  <cp:lastPrinted>2019-11-14T09:08:00Z</cp:lastPrinted>
  <dcterms:created xsi:type="dcterms:W3CDTF">2019-11-14T08:59:00Z</dcterms:created>
  <dcterms:modified xsi:type="dcterms:W3CDTF">2019-11-14T09:09:00Z</dcterms:modified>
</cp:coreProperties>
</file>